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07725" w:rsidRPr="007D7E0B" w:rsidTr="00B75672">
        <w:tc>
          <w:tcPr>
            <w:tcW w:w="8525" w:type="dxa"/>
            <w:gridSpan w:val="2"/>
            <w:tcBorders>
              <w:bottom w:val="single" w:sz="18" w:space="0" w:color="auto"/>
            </w:tcBorders>
          </w:tcPr>
          <w:p w:rsidR="00507725" w:rsidRDefault="00507725" w:rsidP="00B75672">
            <w:pPr>
              <w:pStyle w:val="Infotext"/>
              <w:rPr>
                <w:rFonts w:ascii="Arial Black" w:hAnsi="Arial Black"/>
                <w:color w:val="999999"/>
                <w:sz w:val="36"/>
                <w:szCs w:val="36"/>
              </w:rPr>
            </w:pPr>
          </w:p>
          <w:p w:rsidR="00507725" w:rsidRDefault="004E1960" w:rsidP="00B7567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07725" w:rsidRDefault="00507725" w:rsidP="00B75672">
            <w:pPr>
              <w:pStyle w:val="Infotext"/>
              <w:rPr>
                <w:rFonts w:ascii="Arial Black" w:hAnsi="Arial Black" w:cs="Arial"/>
                <w:sz w:val="36"/>
                <w:szCs w:val="36"/>
              </w:rPr>
            </w:pPr>
          </w:p>
        </w:tc>
      </w:tr>
      <w:tr w:rsidR="005441B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4D7310" w:rsidRDefault="004D7310" w:rsidP="002E1BAD">
            <w:pPr>
              <w:pStyle w:val="Infotext"/>
              <w:rPr>
                <w:rFonts w:ascii="Arial Black" w:hAnsi="Arial Black" w:cs="Arial"/>
                <w:sz w:val="36"/>
                <w:szCs w:val="36"/>
              </w:rPr>
            </w:pPr>
            <w:r w:rsidRPr="004D7310">
              <w:rPr>
                <w:rFonts w:ascii="Arial Black" w:hAnsi="Arial Black" w:cs="Arial"/>
                <w:sz w:val="36"/>
                <w:szCs w:val="36"/>
              </w:rPr>
              <w:t>OVERVIEW AND SCRUTINY COMMITTEE</w:t>
            </w:r>
            <w:r w:rsidR="00CC1569">
              <w:rPr>
                <w:rFonts w:ascii="Arial Black" w:hAnsi="Arial Black" w:cs="Arial"/>
                <w:sz w:val="36"/>
                <w:szCs w:val="36"/>
              </w:rPr>
              <w:t xml:space="preserve"> </w:t>
            </w:r>
          </w:p>
          <w:p w:rsidR="002E1BAD" w:rsidRPr="004D7310" w:rsidRDefault="002E1BAD" w:rsidP="002E1BAD">
            <w:pPr>
              <w:pStyle w:val="Infotext"/>
              <w:rPr>
                <w:rFonts w:ascii="Arial Black" w:hAnsi="Arial Black" w:cs="Arial"/>
                <w:sz w:val="36"/>
                <w:szCs w:val="36"/>
              </w:rPr>
            </w:pPr>
          </w:p>
        </w:tc>
      </w:tr>
      <w:tr w:rsidR="005441BD">
        <w:tc>
          <w:tcPr>
            <w:tcW w:w="3474" w:type="dxa"/>
            <w:tcBorders>
              <w:top w:val="single" w:sz="18" w:space="0" w:color="auto"/>
            </w:tcBorders>
          </w:tcPr>
          <w:p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rsidR="005441BD" w:rsidRPr="004D7310" w:rsidRDefault="005441BD">
            <w:pPr>
              <w:pStyle w:val="Infotext"/>
              <w:rPr>
                <w:rFonts w:ascii="Arial Black" w:hAnsi="Arial Black" w:cs="Arial"/>
              </w:rPr>
            </w:pPr>
          </w:p>
        </w:tc>
        <w:tc>
          <w:tcPr>
            <w:tcW w:w="5051" w:type="dxa"/>
            <w:tcBorders>
              <w:top w:val="single" w:sz="18" w:space="0" w:color="auto"/>
            </w:tcBorders>
          </w:tcPr>
          <w:p w:rsidR="00362972" w:rsidRPr="00530F69" w:rsidRDefault="00362972" w:rsidP="00362972">
            <w:pPr>
              <w:rPr>
                <w:rFonts w:cs="Arial"/>
                <w:sz w:val="28"/>
                <w:szCs w:val="28"/>
              </w:rPr>
            </w:pPr>
            <w:r w:rsidRPr="00530F69">
              <w:rPr>
                <w:rFonts w:cs="Arial"/>
                <w:sz w:val="28"/>
                <w:szCs w:val="28"/>
              </w:rPr>
              <w:t xml:space="preserve">7 January 2020 </w:t>
            </w:r>
          </w:p>
          <w:p w:rsidR="00362972" w:rsidRPr="00B370B0" w:rsidRDefault="00362972" w:rsidP="00362972">
            <w:pPr>
              <w:rPr>
                <w:rFonts w:cs="Arial"/>
                <w:b/>
                <w:color w:val="FF0000"/>
              </w:rPr>
            </w:pPr>
            <w:r w:rsidRPr="00362972">
              <w:rPr>
                <w:rFonts w:cs="Arial"/>
              </w:rPr>
              <w:t>[12 November 2019 meeting</w:t>
            </w:r>
            <w:r>
              <w:rPr>
                <w:rFonts w:cs="Arial"/>
              </w:rPr>
              <w:t xml:space="preserve"> postponed</w:t>
            </w:r>
            <w:r w:rsidRPr="00362972">
              <w:rPr>
                <w:rFonts w:cs="Arial"/>
              </w:rPr>
              <w:t>]</w:t>
            </w:r>
          </w:p>
          <w:p w:rsidR="005441BD" w:rsidRDefault="005441BD" w:rsidP="00362972">
            <w:pPr>
              <w:pStyle w:val="Infotext"/>
              <w:tabs>
                <w:tab w:val="left" w:pos="1086"/>
              </w:tabs>
              <w:rPr>
                <w:rFonts w:cs="Arial"/>
              </w:rPr>
            </w:pP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Subject:</w:t>
            </w:r>
          </w:p>
          <w:p w:rsidR="005441BD" w:rsidRPr="004D7310" w:rsidRDefault="005441BD">
            <w:pPr>
              <w:pStyle w:val="Infotext"/>
              <w:rPr>
                <w:rFonts w:ascii="Arial Black" w:hAnsi="Arial Black"/>
              </w:rPr>
            </w:pPr>
          </w:p>
        </w:tc>
        <w:tc>
          <w:tcPr>
            <w:tcW w:w="5051" w:type="dxa"/>
          </w:tcPr>
          <w:p w:rsidR="005441BD" w:rsidRDefault="005F7B76">
            <w:pPr>
              <w:pStyle w:val="Infotext"/>
              <w:rPr>
                <w:rFonts w:cs="Arial"/>
              </w:rPr>
            </w:pPr>
            <w:r>
              <w:rPr>
                <w:rFonts w:cs="Arial"/>
              </w:rPr>
              <w:t xml:space="preserve">Resilient Harrow </w:t>
            </w:r>
            <w:r w:rsidRPr="005F7B76">
              <w:rPr>
                <w:rFonts w:cs="Arial"/>
                <w:szCs w:val="28"/>
              </w:rPr>
              <w:t xml:space="preserve">Programme </w:t>
            </w:r>
            <w:r w:rsidRPr="005F7B76">
              <w:rPr>
                <w:rFonts w:cs="Arial"/>
                <w:szCs w:val="28"/>
                <w:lang w:eastAsia="en-GB"/>
              </w:rPr>
              <w:t>- Adult Services Transformation</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Responsible Officer:</w:t>
            </w:r>
          </w:p>
          <w:p w:rsidR="005441BD" w:rsidRPr="004D7310" w:rsidRDefault="005441BD">
            <w:pPr>
              <w:pStyle w:val="Infotext"/>
              <w:rPr>
                <w:rFonts w:ascii="Arial Black" w:hAnsi="Arial Black" w:cs="Arial"/>
              </w:rPr>
            </w:pPr>
          </w:p>
        </w:tc>
        <w:tc>
          <w:tcPr>
            <w:tcW w:w="5051" w:type="dxa"/>
          </w:tcPr>
          <w:p w:rsidR="00077D73" w:rsidRPr="00077D73" w:rsidRDefault="00077D73" w:rsidP="00077D73">
            <w:pPr>
              <w:rPr>
                <w:sz w:val="28"/>
                <w:szCs w:val="28"/>
              </w:rPr>
            </w:pPr>
            <w:r w:rsidRPr="00077D73">
              <w:rPr>
                <w:sz w:val="28"/>
                <w:szCs w:val="28"/>
              </w:rPr>
              <w:t>Paul Hewitt</w:t>
            </w:r>
            <w:r w:rsidR="002E1BAD">
              <w:rPr>
                <w:sz w:val="28"/>
                <w:szCs w:val="28"/>
              </w:rPr>
              <w:t xml:space="preserve">, </w:t>
            </w:r>
            <w:r w:rsidRPr="00077D73">
              <w:rPr>
                <w:sz w:val="28"/>
                <w:szCs w:val="28"/>
              </w:rPr>
              <w:t xml:space="preserve">Corporate Director </w:t>
            </w:r>
            <w:r w:rsidR="002E1BAD">
              <w:rPr>
                <w:sz w:val="28"/>
                <w:szCs w:val="28"/>
              </w:rPr>
              <w:t xml:space="preserve">of </w:t>
            </w:r>
            <w:r w:rsidRPr="00077D73">
              <w:rPr>
                <w:sz w:val="28"/>
                <w:szCs w:val="28"/>
              </w:rPr>
              <w:t xml:space="preserve">People </w:t>
            </w:r>
          </w:p>
          <w:p w:rsidR="00077D73" w:rsidRDefault="00077D73">
            <w:pPr>
              <w:pStyle w:val="Infotext"/>
              <w:rPr>
                <w:rFonts w:cs="Arial"/>
                <w:i/>
                <w:color w:val="FF0000"/>
              </w:rPr>
            </w:pPr>
          </w:p>
          <w:p w:rsidR="00036698" w:rsidRDefault="00036698" w:rsidP="00077D73">
            <w:pPr>
              <w:pStyle w:val="Infotext"/>
              <w:rPr>
                <w:rFonts w:cs="Arial"/>
              </w:rPr>
            </w:pPr>
          </w:p>
        </w:tc>
      </w:tr>
      <w:tr w:rsidR="005441BD">
        <w:tc>
          <w:tcPr>
            <w:tcW w:w="3474" w:type="dxa"/>
          </w:tcPr>
          <w:p w:rsidR="005441BD" w:rsidRPr="004D7310" w:rsidRDefault="00FE2F05">
            <w:pPr>
              <w:pStyle w:val="Infotext"/>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rsidR="005441BD" w:rsidRPr="004D7310" w:rsidRDefault="005441BD">
            <w:pPr>
              <w:pStyle w:val="Infotext"/>
              <w:rPr>
                <w:rFonts w:ascii="Arial Black" w:hAnsi="Arial Black" w:cs="Arial"/>
              </w:rPr>
            </w:pPr>
          </w:p>
        </w:tc>
        <w:tc>
          <w:tcPr>
            <w:tcW w:w="5051" w:type="dxa"/>
          </w:tcPr>
          <w:p w:rsidR="003E7898" w:rsidRPr="003E7898" w:rsidRDefault="002E1BAD" w:rsidP="003E7898">
            <w:pPr>
              <w:rPr>
                <w:sz w:val="28"/>
                <w:szCs w:val="28"/>
              </w:rPr>
            </w:pPr>
            <w:r>
              <w:rPr>
                <w:sz w:val="28"/>
                <w:szCs w:val="28"/>
              </w:rPr>
              <w:t xml:space="preserve">People - </w:t>
            </w:r>
            <w:r w:rsidR="003E7898" w:rsidRPr="003E7898">
              <w:rPr>
                <w:sz w:val="28"/>
                <w:szCs w:val="28"/>
              </w:rPr>
              <w:t>Councillor</w:t>
            </w:r>
            <w:r>
              <w:rPr>
                <w:sz w:val="28"/>
                <w:szCs w:val="28"/>
              </w:rPr>
              <w:t>s</w:t>
            </w:r>
            <w:r w:rsidR="003E7898" w:rsidRPr="003E7898">
              <w:rPr>
                <w:sz w:val="28"/>
                <w:szCs w:val="28"/>
              </w:rPr>
              <w:t xml:space="preserve"> Jerry Miles</w:t>
            </w:r>
            <w:r>
              <w:rPr>
                <w:sz w:val="28"/>
                <w:szCs w:val="28"/>
              </w:rPr>
              <w:t xml:space="preserve"> and </w:t>
            </w:r>
          </w:p>
          <w:p w:rsidR="003E7898" w:rsidRPr="003E7898" w:rsidRDefault="003E7898" w:rsidP="003E7898">
            <w:pPr>
              <w:rPr>
                <w:sz w:val="28"/>
                <w:szCs w:val="28"/>
              </w:rPr>
            </w:pPr>
            <w:r w:rsidRPr="003E7898">
              <w:rPr>
                <w:sz w:val="28"/>
                <w:szCs w:val="28"/>
              </w:rPr>
              <w:t>Janet Mote</w:t>
            </w:r>
          </w:p>
          <w:p w:rsidR="005441BD" w:rsidRPr="00825D81" w:rsidRDefault="005441BD">
            <w:pPr>
              <w:pStyle w:val="Infotext"/>
              <w:rPr>
                <w:rFonts w:cs="Arial"/>
                <w:i/>
              </w:rPr>
            </w:pP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Exempt:</w:t>
            </w:r>
          </w:p>
          <w:p w:rsidR="005441BD" w:rsidRPr="004D7310" w:rsidRDefault="005441BD">
            <w:pPr>
              <w:pStyle w:val="Infotext"/>
              <w:rPr>
                <w:rFonts w:ascii="Arial Black" w:hAnsi="Arial Black" w:cs="Arial"/>
              </w:rPr>
            </w:pPr>
          </w:p>
        </w:tc>
        <w:tc>
          <w:tcPr>
            <w:tcW w:w="5051" w:type="dxa"/>
          </w:tcPr>
          <w:p w:rsidR="005441BD" w:rsidRDefault="005441BD">
            <w:pPr>
              <w:pStyle w:val="Infotext"/>
              <w:rPr>
                <w:rFonts w:cs="Arial"/>
              </w:rPr>
            </w:pPr>
            <w:r>
              <w:rPr>
                <w:rFonts w:cs="Arial"/>
              </w:rPr>
              <w:t>No</w:t>
            </w:r>
          </w:p>
          <w:p w:rsidR="005441BD" w:rsidRDefault="005441BD">
            <w:pPr>
              <w:pStyle w:val="Infotext"/>
              <w:rPr>
                <w:rFonts w:cs="Arial"/>
              </w:rPr>
            </w:pPr>
          </w:p>
        </w:tc>
      </w:tr>
      <w:tr w:rsidR="006377D6">
        <w:tc>
          <w:tcPr>
            <w:tcW w:w="3474" w:type="dxa"/>
          </w:tcPr>
          <w:p w:rsidR="006377D6" w:rsidRDefault="006377D6">
            <w:pPr>
              <w:pStyle w:val="Infotext"/>
              <w:rPr>
                <w:rFonts w:ascii="Arial Black" w:hAnsi="Arial Black" w:cs="Arial"/>
              </w:rPr>
            </w:pPr>
            <w:r>
              <w:rPr>
                <w:rFonts w:ascii="Arial Black" w:hAnsi="Arial Black" w:cs="Arial"/>
              </w:rPr>
              <w:t>Wards affected:</w:t>
            </w:r>
          </w:p>
          <w:p w:rsidR="006377D6" w:rsidRPr="004D7310" w:rsidRDefault="006377D6">
            <w:pPr>
              <w:pStyle w:val="Infotext"/>
              <w:rPr>
                <w:rFonts w:ascii="Arial Black" w:hAnsi="Arial Black" w:cs="Arial"/>
              </w:rPr>
            </w:pPr>
          </w:p>
        </w:tc>
        <w:tc>
          <w:tcPr>
            <w:tcW w:w="5051" w:type="dxa"/>
          </w:tcPr>
          <w:p w:rsidR="003A2F0B" w:rsidRPr="003A2F0B" w:rsidRDefault="00825D81" w:rsidP="002E1BAD">
            <w:pPr>
              <w:pStyle w:val="Infotext"/>
              <w:rPr>
                <w:b/>
                <w:color w:val="FF0000"/>
              </w:rPr>
            </w:pPr>
            <w:r>
              <w:t>A</w:t>
            </w:r>
            <w:r w:rsidR="002E1BAD">
              <w:t>ll</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Enclosures:</w:t>
            </w:r>
          </w:p>
          <w:p w:rsidR="005441BD" w:rsidRPr="004D7310" w:rsidRDefault="005441BD">
            <w:pPr>
              <w:pStyle w:val="Infotext"/>
              <w:rPr>
                <w:rFonts w:ascii="Arial Black" w:hAnsi="Arial Black" w:cs="Arial"/>
              </w:rPr>
            </w:pPr>
          </w:p>
        </w:tc>
        <w:tc>
          <w:tcPr>
            <w:tcW w:w="5051" w:type="dxa"/>
          </w:tcPr>
          <w:p w:rsidR="005441BD" w:rsidRDefault="0046174C">
            <w:pPr>
              <w:pStyle w:val="Infotext"/>
            </w:pPr>
            <w:r w:rsidRPr="0046174C">
              <w:t>Appendix 1 – Resilient Harrow Programme structure</w:t>
            </w:r>
          </w:p>
          <w:p w:rsidR="00D1193B" w:rsidRPr="0046174C" w:rsidRDefault="00D1193B">
            <w:pPr>
              <w:pStyle w:val="Infotext"/>
            </w:pPr>
            <w:r>
              <w:t>Appendix 2 – Project summaries</w:t>
            </w:r>
          </w:p>
        </w:tc>
      </w:tr>
    </w:tbl>
    <w:p w:rsidR="005441BD" w:rsidRDefault="005441BD">
      <w:pPr>
        <w:rPr>
          <w:rFonts w:cs="Arial"/>
        </w:rPr>
      </w:pPr>
    </w:p>
    <w:p w:rsidR="005441BD"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tc>
          <w:tcPr>
            <w:tcW w:w="8525" w:type="dxa"/>
            <w:tcBorders>
              <w:top w:val="nil"/>
              <w:left w:val="nil"/>
              <w:right w:val="nil"/>
            </w:tcBorders>
          </w:tcPr>
          <w:p w:rsidR="005200DF" w:rsidRDefault="005200DF" w:rsidP="005200DF">
            <w:pPr>
              <w:pStyle w:val="Heading1"/>
            </w:pPr>
            <w:r>
              <w:t>Section 1 – Summary and Recommendations</w:t>
            </w:r>
          </w:p>
          <w:p w:rsidR="005200DF" w:rsidRDefault="005200DF"/>
        </w:tc>
      </w:tr>
      <w:tr w:rsidR="005441BD">
        <w:tc>
          <w:tcPr>
            <w:tcW w:w="8525" w:type="dxa"/>
          </w:tcPr>
          <w:p w:rsidR="005441BD" w:rsidRDefault="005441BD"/>
          <w:p w:rsidR="00EF59E1" w:rsidRPr="00EF59E1" w:rsidRDefault="005441BD">
            <w:r w:rsidRPr="00EF59E1">
              <w:t xml:space="preserve">This report </w:t>
            </w:r>
            <w:r w:rsidR="00EF59E1" w:rsidRPr="00EF59E1">
              <w:t>describes the Re</w:t>
            </w:r>
            <w:r w:rsidR="00011E6E">
              <w:t>silient Harrow programme which w</w:t>
            </w:r>
            <w:r w:rsidR="00EF59E1" w:rsidRPr="00EF59E1">
              <w:t>as established to transform the delivery of Adult Social Care services.</w:t>
            </w:r>
          </w:p>
          <w:p w:rsidR="00EF59E1" w:rsidRPr="00EF59E1" w:rsidRDefault="00EF59E1"/>
          <w:p w:rsidR="005441BD" w:rsidRDefault="00EF59E1">
            <w:r w:rsidRPr="00EF59E1">
              <w:t>It provides examples and summ</w:t>
            </w:r>
            <w:r w:rsidR="00011E6E">
              <w:t>aries of a range of projects</w:t>
            </w:r>
            <w:r w:rsidRPr="00EF59E1">
              <w:t xml:space="preserve"> designed to ensure that in the face of increasing demand, appropriate, good quality care is provided to meet the needs of citizens within the resources availab</w:t>
            </w:r>
            <w:r w:rsidR="00066FF7">
              <w:t>l</w:t>
            </w:r>
            <w:r w:rsidRPr="00EF59E1">
              <w:t>e</w:t>
            </w:r>
            <w:r w:rsidR="00C00608">
              <w:t>. It also describes future arrangements for the delivery of these projects</w:t>
            </w:r>
          </w:p>
          <w:p w:rsidR="00011E6E" w:rsidRPr="00EF59E1" w:rsidRDefault="00011E6E"/>
          <w:p w:rsidR="005441BD" w:rsidRDefault="005441BD">
            <w:pPr>
              <w:pStyle w:val="Heading2"/>
            </w:pPr>
            <w:r>
              <w:t xml:space="preserve">Recommendations: </w:t>
            </w:r>
          </w:p>
          <w:p w:rsidR="00BE395B" w:rsidRDefault="00BE395B" w:rsidP="00BE395B">
            <w:r>
              <w:t>Members are asked to note and comment on the progress of the Resilient Harrow programme</w:t>
            </w:r>
            <w:r w:rsidR="00C00608">
              <w:t xml:space="preserve"> and the plans for the future</w:t>
            </w:r>
            <w:r w:rsidR="002E1BAD">
              <w:t>.</w:t>
            </w:r>
          </w:p>
          <w:p w:rsidR="005441BD" w:rsidRDefault="005441BD" w:rsidP="00BE395B"/>
        </w:tc>
      </w:tr>
    </w:tbl>
    <w:p w:rsidR="005441BD" w:rsidRDefault="005441BD" w:rsidP="000064A3">
      <w:pPr>
        <w:pStyle w:val="Heading1"/>
        <w:rPr>
          <w:rFonts w:ascii="Arial" w:hAnsi="Arial"/>
          <w:b/>
          <w:sz w:val="24"/>
          <w:szCs w:val="24"/>
        </w:rPr>
      </w:pPr>
    </w:p>
    <w:p w:rsidR="006377D6" w:rsidRPr="006377D6" w:rsidRDefault="006377D6" w:rsidP="006377D6"/>
    <w:p w:rsidR="005441BD" w:rsidRDefault="005441BD">
      <w:pPr>
        <w:pStyle w:val="Heading1"/>
        <w:jc w:val="both"/>
      </w:pPr>
      <w:r>
        <w:t>Section 2 – Report</w:t>
      </w:r>
    </w:p>
    <w:p w:rsidR="005441BD" w:rsidRDefault="005441BD"/>
    <w:p w:rsidR="005441BD" w:rsidRPr="00825D81" w:rsidRDefault="005441BD" w:rsidP="00066FF7">
      <w:pPr>
        <w:pStyle w:val="Heading2"/>
        <w:rPr>
          <w:i/>
        </w:rPr>
      </w:pPr>
      <w:r>
        <w:t>Introduct</w:t>
      </w:r>
      <w:r w:rsidR="00066FF7">
        <w:t xml:space="preserve">ion </w:t>
      </w:r>
    </w:p>
    <w:p w:rsidR="005441BD" w:rsidRDefault="005441BD"/>
    <w:p w:rsidR="003631ED" w:rsidRDefault="00825D81">
      <w:r>
        <w:t xml:space="preserve">This report describes the Resilient Harrow Programme which </w:t>
      </w:r>
      <w:r w:rsidR="00B24F54">
        <w:t>w</w:t>
      </w:r>
      <w:r>
        <w:t xml:space="preserve">as established to transform Adult Social Care services and to support delivery of the Adult Social Care </w:t>
      </w:r>
      <w:r w:rsidR="00212465">
        <w:t xml:space="preserve">Vision which was reported to the Health and Wellbeing Board in March 2018. </w:t>
      </w:r>
    </w:p>
    <w:p w:rsidR="00825D81" w:rsidRDefault="00825D81"/>
    <w:p w:rsidR="00DD7A32" w:rsidRDefault="003631ED" w:rsidP="003631ED">
      <w:pPr>
        <w:autoSpaceDE w:val="0"/>
        <w:autoSpaceDN w:val="0"/>
        <w:adjustRightInd w:val="0"/>
      </w:pPr>
      <w:r>
        <w:t xml:space="preserve">The various projects within the programme reflect the Vision’s </w:t>
      </w:r>
      <w:r>
        <w:rPr>
          <w:rFonts w:cs="Arial"/>
          <w:szCs w:val="24"/>
          <w:lang w:eastAsia="en-GB"/>
        </w:rPr>
        <w:t xml:space="preserve">aim ‘to give the right level and type of support at the right time and in the right place to help prevent, reduce or delay the need for on-going support and to maximise people’s well-being and independence’. </w:t>
      </w:r>
      <w:r w:rsidR="00E92E9D">
        <w:rPr>
          <w:rFonts w:cs="Arial"/>
          <w:szCs w:val="24"/>
          <w:lang w:eastAsia="en-GB"/>
        </w:rPr>
        <w:t xml:space="preserve">The programme aims to deliver efficiencies through </w:t>
      </w:r>
      <w:r w:rsidR="00E92E9D">
        <w:t>greater use of new technologies, changes in ways of working</w:t>
      </w:r>
      <w:r w:rsidR="00DD7A32">
        <w:t xml:space="preserve"> and</w:t>
      </w:r>
      <w:r w:rsidR="00E92E9D">
        <w:t xml:space="preserve"> more effective management and development of local care markets</w:t>
      </w:r>
      <w:r w:rsidR="00DD7A32">
        <w:t>. Taken together, these measures will support delivery of already agreed MTFS savings and assist the future provision of Adult Social Care services within available financial resources.</w:t>
      </w:r>
    </w:p>
    <w:p w:rsidR="003631ED" w:rsidRDefault="003631ED"/>
    <w:p w:rsidR="005441BD" w:rsidRDefault="005441BD">
      <w:pPr>
        <w:pStyle w:val="Heading2"/>
      </w:pPr>
      <w:r w:rsidRPr="00B058BC">
        <w:t xml:space="preserve">Background </w:t>
      </w:r>
    </w:p>
    <w:p w:rsidR="00B058BC" w:rsidRDefault="00B058BC" w:rsidP="00B058BC"/>
    <w:p w:rsidR="003A4190" w:rsidRDefault="003A4190" w:rsidP="00B058BC">
      <w:r>
        <w:t xml:space="preserve">Adult Social Care services nationally have seen increases in demand over recent years and this trend </w:t>
      </w:r>
      <w:r w:rsidR="00C872DE">
        <w:t xml:space="preserve">is </w:t>
      </w:r>
      <w:r>
        <w:t>expected to continue with increasing numbers of people living with (for example) dementia, other long term conditions, learning disabilities or poor mental health. These demands place increasing pressures on already stretched council finances and it is vital the best use is made of available resources to meet need.</w:t>
      </w:r>
    </w:p>
    <w:p w:rsidR="00066FF7" w:rsidRDefault="00066FF7" w:rsidP="00B058BC"/>
    <w:p w:rsidR="00066FF7" w:rsidRDefault="00066FF7" w:rsidP="00B058BC">
      <w:r>
        <w:t xml:space="preserve">Recent years have seen significant increases in expenditure on Adult Social Care services in Harrow, rising from £34million in 2013/14 to £51million in 2018/19. </w:t>
      </w:r>
    </w:p>
    <w:p w:rsidR="00066FF7" w:rsidRDefault="00066FF7" w:rsidP="00B058BC"/>
    <w:p w:rsidR="00066FF7" w:rsidRDefault="00066FF7" w:rsidP="00B058BC">
      <w:r>
        <w:t xml:space="preserve">The Financial Implications section of this report provides more detail on </w:t>
      </w:r>
      <w:r w:rsidR="00203EA9">
        <w:t>the trend and shows how action already taken or planned is beginning to slow the rate of increase.</w:t>
      </w:r>
    </w:p>
    <w:p w:rsidR="003A4190" w:rsidRDefault="003A4190" w:rsidP="00B058BC"/>
    <w:p w:rsidR="00B058BC" w:rsidRDefault="003A4190" w:rsidP="00B058BC">
      <w:r>
        <w:t>To begin to address these financial pressures, a</w:t>
      </w:r>
      <w:r w:rsidR="00B058BC">
        <w:t xml:space="preserve"> new Adult Social Care Vision was developed and formally endorsed by the Health and Wellbeing Board in March 2018. The key messages of the vision are:</w:t>
      </w:r>
    </w:p>
    <w:p w:rsidR="00B058BC" w:rsidRPr="002A5187" w:rsidRDefault="00B058BC" w:rsidP="00A8150C">
      <w:pPr>
        <w:numPr>
          <w:ilvl w:val="0"/>
          <w:numId w:val="21"/>
        </w:numPr>
        <w:rPr>
          <w:rFonts w:cs="Arial"/>
          <w:szCs w:val="24"/>
        </w:rPr>
      </w:pPr>
      <w:r w:rsidRPr="002A5187">
        <w:rPr>
          <w:rFonts w:cs="Arial"/>
          <w:szCs w:val="24"/>
        </w:rPr>
        <w:t>To pave the way for seamless health and social care integration.</w:t>
      </w:r>
    </w:p>
    <w:p w:rsidR="00B058BC" w:rsidRPr="002A5187" w:rsidRDefault="00B058BC" w:rsidP="00A8150C">
      <w:pPr>
        <w:numPr>
          <w:ilvl w:val="0"/>
          <w:numId w:val="21"/>
        </w:numPr>
        <w:rPr>
          <w:rFonts w:cs="Arial"/>
          <w:szCs w:val="24"/>
        </w:rPr>
      </w:pPr>
      <w:r w:rsidRPr="002A5187">
        <w:rPr>
          <w:rFonts w:cs="Arial"/>
          <w:szCs w:val="24"/>
        </w:rPr>
        <w:t xml:space="preserve">To respond to the continuing rise in demand for health and social care </w:t>
      </w:r>
    </w:p>
    <w:p w:rsidR="00B058BC" w:rsidRPr="002A5187" w:rsidRDefault="00B058BC" w:rsidP="00A8150C">
      <w:pPr>
        <w:numPr>
          <w:ilvl w:val="0"/>
          <w:numId w:val="21"/>
        </w:numPr>
        <w:rPr>
          <w:rFonts w:cs="Arial"/>
          <w:szCs w:val="24"/>
        </w:rPr>
      </w:pPr>
      <w:r w:rsidRPr="002A5187">
        <w:rPr>
          <w:rFonts w:cs="Arial"/>
          <w:szCs w:val="24"/>
        </w:rPr>
        <w:t>To transform the offer of care.</w:t>
      </w:r>
    </w:p>
    <w:p w:rsidR="00B058BC" w:rsidRPr="002A5187" w:rsidRDefault="00B058BC" w:rsidP="00A8150C">
      <w:pPr>
        <w:numPr>
          <w:ilvl w:val="0"/>
          <w:numId w:val="21"/>
        </w:numPr>
        <w:rPr>
          <w:rFonts w:cs="Arial"/>
          <w:szCs w:val="24"/>
        </w:rPr>
      </w:pPr>
      <w:r w:rsidRPr="002A5187">
        <w:rPr>
          <w:rFonts w:cs="Arial"/>
          <w:szCs w:val="24"/>
        </w:rPr>
        <w:t>To enhance health, wellbeing and resilience with a preventative approach that embodies the ‘wellbeing principle’.</w:t>
      </w:r>
    </w:p>
    <w:p w:rsidR="00B058BC" w:rsidRPr="002A5187" w:rsidRDefault="00B058BC" w:rsidP="00A8150C">
      <w:pPr>
        <w:numPr>
          <w:ilvl w:val="0"/>
          <w:numId w:val="21"/>
        </w:numPr>
        <w:rPr>
          <w:rFonts w:cs="Arial"/>
          <w:szCs w:val="24"/>
        </w:rPr>
      </w:pPr>
      <w:r w:rsidRPr="002A5187">
        <w:rPr>
          <w:rFonts w:cs="Arial"/>
          <w:szCs w:val="24"/>
        </w:rPr>
        <w:t>Delivering the right level and type of support at the right time and in the right place to keep people independent for longer.</w:t>
      </w:r>
    </w:p>
    <w:p w:rsidR="00B058BC" w:rsidRPr="002A5187" w:rsidRDefault="00B058BC" w:rsidP="00A8150C">
      <w:pPr>
        <w:numPr>
          <w:ilvl w:val="0"/>
          <w:numId w:val="21"/>
        </w:numPr>
        <w:rPr>
          <w:rFonts w:cs="Arial"/>
          <w:szCs w:val="24"/>
        </w:rPr>
      </w:pPr>
      <w:r w:rsidRPr="002A5187">
        <w:rPr>
          <w:rFonts w:cs="Arial"/>
          <w:szCs w:val="24"/>
        </w:rPr>
        <w:t>Manage customer expectation and increase customer satisfaction.</w:t>
      </w:r>
    </w:p>
    <w:p w:rsidR="00B058BC" w:rsidRDefault="00B058BC" w:rsidP="00B058BC"/>
    <w:p w:rsidR="006A7920" w:rsidRDefault="006A7920" w:rsidP="00B058BC">
      <w:r>
        <w:t>During 2018</w:t>
      </w:r>
      <w:r w:rsidR="00203EA9">
        <w:t xml:space="preserve">, </w:t>
      </w:r>
      <w:r>
        <w:t>phase 1 of a programme of work to implement and deliver the Vision</w:t>
      </w:r>
      <w:r w:rsidR="00203EA9" w:rsidRPr="00203EA9">
        <w:t xml:space="preserve"> </w:t>
      </w:r>
      <w:r w:rsidR="00203EA9">
        <w:t>was undertaken</w:t>
      </w:r>
      <w:r>
        <w:t xml:space="preserve">. This involved a major review of the social care </w:t>
      </w:r>
      <w:r>
        <w:lastRenderedPageBreak/>
        <w:t xml:space="preserve">pathway, and a substantial restructure of Social Work teams. The new processes and structures were implemented in </w:t>
      </w:r>
      <w:proofErr w:type="gramStart"/>
      <w:r>
        <w:t>Autumn</w:t>
      </w:r>
      <w:proofErr w:type="gramEnd"/>
      <w:r>
        <w:t xml:space="preserve"> 2018.</w:t>
      </w:r>
      <w:r w:rsidR="00434108">
        <w:t xml:space="preserve"> A key aim of the restructure was to simplify and streamline processes</w:t>
      </w:r>
      <w:r w:rsidR="00203EA9">
        <w:t>. T</w:t>
      </w:r>
      <w:r w:rsidR="00434108">
        <w:t>he new arrangements have significantly reduced the number of ‘hand-offs’ between different staff teams</w:t>
      </w:r>
      <w:r w:rsidR="00203EA9">
        <w:t xml:space="preserve"> and have improved and simplified processes for citizens</w:t>
      </w:r>
      <w:r w:rsidR="00434108">
        <w:t xml:space="preserve">. </w:t>
      </w:r>
    </w:p>
    <w:p w:rsidR="006A7920" w:rsidRDefault="006A7920" w:rsidP="00B058BC"/>
    <w:p w:rsidR="00DD0456" w:rsidRDefault="00434108" w:rsidP="00B058BC">
      <w:r>
        <w:t>B</w:t>
      </w:r>
      <w:r w:rsidR="006A7920">
        <w:t xml:space="preserve">etween October and December 2018 the Council engaged the consultancy agency </w:t>
      </w:r>
      <w:proofErr w:type="spellStart"/>
      <w:r w:rsidR="006A7920">
        <w:t>Impower</w:t>
      </w:r>
      <w:proofErr w:type="spellEnd"/>
      <w:r w:rsidR="006A7920">
        <w:t xml:space="preserve"> to undertake an independent evaluation of the work done, and to identify options for further work. A report was produced which recognised that</w:t>
      </w:r>
      <w:r w:rsidR="00DD0456">
        <w:t xml:space="preserve"> the</w:t>
      </w:r>
      <w:r w:rsidR="006A7920">
        <w:t xml:space="preserve"> phase 1</w:t>
      </w:r>
      <w:r w:rsidR="00DD0456">
        <w:t xml:space="preserve"> work had laid the foundations for delivery of the Vision, and also identified a number of areas and themes for the future.</w:t>
      </w:r>
    </w:p>
    <w:p w:rsidR="00DD0456" w:rsidRDefault="00DD0456" w:rsidP="00B058BC"/>
    <w:p w:rsidR="00B058BC" w:rsidRDefault="00DD0456" w:rsidP="00B058BC">
      <w:r>
        <w:t xml:space="preserve">In early 2019 it was decided that phase 2 of the work would be taken forward through a wide ranging transformation programme drawing on the comments and recommendations from </w:t>
      </w:r>
      <w:proofErr w:type="spellStart"/>
      <w:r>
        <w:t>Impower</w:t>
      </w:r>
      <w:proofErr w:type="spellEnd"/>
      <w:r>
        <w:t xml:space="preserve">. The sections below set out the details of that ‘Resilient </w:t>
      </w:r>
      <w:r w:rsidR="00653E71">
        <w:t>H</w:t>
      </w:r>
      <w:r>
        <w:t xml:space="preserve">arrow’ programme.  </w:t>
      </w:r>
      <w:r w:rsidR="006A7920">
        <w:t xml:space="preserve"> </w:t>
      </w:r>
    </w:p>
    <w:p w:rsidR="00B058BC" w:rsidRPr="00B058BC" w:rsidRDefault="00B058BC" w:rsidP="00B058BC"/>
    <w:p w:rsidR="005441BD" w:rsidRPr="00DD0456" w:rsidRDefault="00DD0456">
      <w:pPr>
        <w:rPr>
          <w:b/>
        </w:rPr>
      </w:pPr>
      <w:r w:rsidRPr="00DD0456">
        <w:rPr>
          <w:b/>
        </w:rPr>
        <w:t>Resilient Harrow programme – 2019</w:t>
      </w:r>
    </w:p>
    <w:p w:rsidR="00DD0456" w:rsidRDefault="00DD0456">
      <w:pPr>
        <w:rPr>
          <w:b/>
          <w:color w:val="0000FF"/>
        </w:rPr>
      </w:pPr>
    </w:p>
    <w:p w:rsidR="00653E71" w:rsidRDefault="00653E71">
      <w:r>
        <w:t>The Resilient Harrow programme consists of a large number of projects which aim to better manage demand for Adult Social Care services, introduce more efficient ways of working and ensure the availability of good value and</w:t>
      </w:r>
      <w:r w:rsidR="006A770D">
        <w:t xml:space="preserve"> high</w:t>
      </w:r>
      <w:r>
        <w:t xml:space="preserve"> quality services which meet assessed needs and have a focus on promoting independence. </w:t>
      </w:r>
    </w:p>
    <w:p w:rsidR="002069BD" w:rsidRDefault="002069BD"/>
    <w:p w:rsidR="00653E71" w:rsidRDefault="00653E71">
      <w:r>
        <w:t xml:space="preserve">The range of projects </w:t>
      </w:r>
      <w:r w:rsidR="002069BD">
        <w:t>has</w:t>
      </w:r>
      <w:r>
        <w:t xml:space="preserve"> develop</w:t>
      </w:r>
      <w:r w:rsidR="002069BD">
        <w:t>ed</w:t>
      </w:r>
      <w:r>
        <w:t xml:space="preserve"> over time </w:t>
      </w:r>
      <w:r w:rsidR="002069BD">
        <w:t xml:space="preserve">with </w:t>
      </w:r>
      <w:r>
        <w:t>some end</w:t>
      </w:r>
      <w:r w:rsidR="002069BD">
        <w:t>ing</w:t>
      </w:r>
      <w:r>
        <w:t xml:space="preserve"> </w:t>
      </w:r>
      <w:r w:rsidR="00934809">
        <w:t xml:space="preserve">or transferred to ‘Business as Usual’, </w:t>
      </w:r>
      <w:r>
        <w:t xml:space="preserve">and </w:t>
      </w:r>
      <w:proofErr w:type="gramStart"/>
      <w:r>
        <w:t>others</w:t>
      </w:r>
      <w:r w:rsidR="002069BD">
        <w:t xml:space="preserve"> </w:t>
      </w:r>
      <w:r>
        <w:t xml:space="preserve"> added</w:t>
      </w:r>
      <w:proofErr w:type="gramEnd"/>
      <w:r>
        <w:t xml:space="preserve"> to the programme.</w:t>
      </w:r>
    </w:p>
    <w:p w:rsidR="00653E71" w:rsidRDefault="00653E71"/>
    <w:p w:rsidR="00653E71" w:rsidRDefault="00653E71">
      <w:r>
        <w:t>All projects have or will have detailed business plans which identify outcomes and outputs to be achieved, mechanisms to measure benefits delivery</w:t>
      </w:r>
      <w:r w:rsidR="00AF003D">
        <w:t xml:space="preserve">, risks and issues. They also have clear project plans which are regularly reviewed. </w:t>
      </w:r>
      <w:r>
        <w:t xml:space="preserve"> </w:t>
      </w:r>
    </w:p>
    <w:p w:rsidR="00AF003D" w:rsidRDefault="00AF003D"/>
    <w:p w:rsidR="00AF003D" w:rsidRDefault="00AF003D">
      <w:r>
        <w:t xml:space="preserve">Robust governance arrangements have been implemented for each project with all work overseen by a Programme Board which meets every four weeks. This Board is chaired by the </w:t>
      </w:r>
      <w:r w:rsidR="004A5615">
        <w:t>Corporate</w:t>
      </w:r>
      <w:r>
        <w:t xml:space="preserve"> Director (People) and includes the Chief Executive, the Director of Finance, the Lead</w:t>
      </w:r>
      <w:r w:rsidR="00E74047">
        <w:t>,</w:t>
      </w:r>
      <w:r>
        <w:t xml:space="preserve"> Deputy Lead and Shadow Lead Members for Adult Social Care as well as all project sponsors and mangers, and performance and finance business partners.</w:t>
      </w:r>
    </w:p>
    <w:p w:rsidR="00AF003D" w:rsidRDefault="00AF003D"/>
    <w:p w:rsidR="00AF003D" w:rsidRDefault="00AF003D">
      <w:r>
        <w:t xml:space="preserve">The Board makes decisions on key project issues, approves new project initiatives, scrutinises progress and monitors spend on project delivery. </w:t>
      </w:r>
    </w:p>
    <w:p w:rsidR="00203EA9" w:rsidRDefault="00203EA9"/>
    <w:p w:rsidR="00203EA9" w:rsidRDefault="00203EA9">
      <w:r>
        <w:t xml:space="preserve">Following the successful establishment of the programme, the governance arrangements </w:t>
      </w:r>
      <w:r w:rsidR="002069BD">
        <w:t xml:space="preserve">have been </w:t>
      </w:r>
      <w:r>
        <w:t>reviewed to ensure a continued focus on delivery and progress.</w:t>
      </w:r>
    </w:p>
    <w:p w:rsidR="007F4BCD" w:rsidRPr="00653E71" w:rsidRDefault="007F4BCD"/>
    <w:p w:rsidR="000E0147" w:rsidRPr="000E0147" w:rsidRDefault="000E0147">
      <w:r w:rsidRPr="000E0147">
        <w:t xml:space="preserve">The diagram at </w:t>
      </w:r>
      <w:r w:rsidRPr="000E0147">
        <w:rPr>
          <w:b/>
        </w:rPr>
        <w:t>Appendix 1</w:t>
      </w:r>
      <w:r w:rsidRPr="000E0147">
        <w:t xml:space="preserve"> illustrates the current programme structure.</w:t>
      </w:r>
    </w:p>
    <w:p w:rsidR="000E0147" w:rsidRPr="000E0147" w:rsidRDefault="000E0147"/>
    <w:p w:rsidR="000E0147" w:rsidRPr="000E0147" w:rsidRDefault="000E0147">
      <w:r w:rsidRPr="000E0147">
        <w:t xml:space="preserve">Details of the individual projects are set out </w:t>
      </w:r>
      <w:r w:rsidR="00754E57" w:rsidRPr="00754E57">
        <w:rPr>
          <w:b/>
        </w:rPr>
        <w:t>Appendix 2.</w:t>
      </w:r>
      <w:r w:rsidR="00754E57">
        <w:t xml:space="preserve"> </w:t>
      </w:r>
    </w:p>
    <w:p w:rsidR="007F4BCD" w:rsidRDefault="007F4BCD"/>
    <w:p w:rsidR="000E0147" w:rsidRDefault="00550745">
      <w:r>
        <w:t xml:space="preserve">The projects run alongside other initiatives which, taken together are designed to deliver the vision for adult social care services. While the programme </w:t>
      </w:r>
      <w:r w:rsidR="002069BD">
        <w:t xml:space="preserve">has </w:t>
      </w:r>
      <w:r w:rsidR="002069BD">
        <w:lastRenderedPageBreak/>
        <w:t>only been fully operational for a number of months,</w:t>
      </w:r>
      <w:r>
        <w:t xml:space="preserve"> the positive impacts are beginning to be seen in a number of areas as described below.</w:t>
      </w:r>
    </w:p>
    <w:p w:rsidR="00550745" w:rsidRDefault="00550745"/>
    <w:p w:rsidR="0080592D" w:rsidRPr="0080592D" w:rsidRDefault="0080592D">
      <w:pPr>
        <w:rPr>
          <w:b/>
          <w:i/>
        </w:rPr>
      </w:pPr>
      <w:r w:rsidRPr="0080592D">
        <w:rPr>
          <w:b/>
          <w:i/>
        </w:rPr>
        <w:t xml:space="preserve">Examples of Resilient Harrow projects </w:t>
      </w:r>
    </w:p>
    <w:p w:rsidR="0080592D" w:rsidRDefault="0080592D"/>
    <w:p w:rsidR="00550745" w:rsidRPr="001A3FAD" w:rsidRDefault="001A3FAD">
      <w:pPr>
        <w:rPr>
          <w:b/>
        </w:rPr>
      </w:pPr>
      <w:proofErr w:type="spellStart"/>
      <w:proofErr w:type="gramStart"/>
      <w:r>
        <w:rPr>
          <w:b/>
        </w:rPr>
        <w:t>i</w:t>
      </w:r>
      <w:proofErr w:type="spellEnd"/>
      <w:proofErr w:type="gramEnd"/>
      <w:r>
        <w:rPr>
          <w:b/>
        </w:rPr>
        <w:t xml:space="preserve"> </w:t>
      </w:r>
      <w:r w:rsidR="0080592D" w:rsidRPr="001A3FAD">
        <w:rPr>
          <w:b/>
        </w:rPr>
        <w:t>Harrow is Home project</w:t>
      </w:r>
    </w:p>
    <w:p w:rsidR="0080592D" w:rsidRDefault="0080592D"/>
    <w:p w:rsidR="0031089B" w:rsidRDefault="0031089B">
      <w:r>
        <w:t>The project is part of the wider Learning Disability and Autism strategy (see below) and aims to increase opportunities for people with Learning Disabi</w:t>
      </w:r>
      <w:r w:rsidR="001A3FAD">
        <w:t>l</w:t>
      </w:r>
      <w:r>
        <w:t>ities and Autism to live independently with appropriate support</w:t>
      </w:r>
      <w:r w:rsidR="001A3FAD">
        <w:t>. This includes, where appropriate, moving people from residential care outside the Borough to more community based supported living or changing care packages to more effectively promote independence and wellbeing</w:t>
      </w:r>
      <w:r w:rsidR="003F2CAA">
        <w:t xml:space="preserve"> locally in Harrow</w:t>
      </w:r>
      <w:r w:rsidR="001A3FAD">
        <w:t xml:space="preserve">. </w:t>
      </w:r>
      <w:r w:rsidR="002A371E">
        <w:t xml:space="preserve">Any such </w:t>
      </w:r>
      <w:proofErr w:type="gramStart"/>
      <w:r w:rsidR="002A371E">
        <w:t>changes to care support is</w:t>
      </w:r>
      <w:proofErr w:type="gramEnd"/>
      <w:r w:rsidR="002A371E">
        <w:t xml:space="preserve"> based on ensuring that the revised support meets the person’s assessed needs.</w:t>
      </w:r>
    </w:p>
    <w:p w:rsidR="001A3FAD" w:rsidRDefault="001A3FAD"/>
    <w:p w:rsidR="001A3FAD" w:rsidRDefault="001A3FAD" w:rsidP="001A3FAD">
      <w:r w:rsidRPr="001A3FAD">
        <w:t>During 2019/20</w:t>
      </w:r>
      <w:r w:rsidR="00203EA9">
        <w:t>, 51 people with Learning D</w:t>
      </w:r>
      <w:r w:rsidRPr="001A3FAD">
        <w:t xml:space="preserve">isabilities will have </w:t>
      </w:r>
      <w:r>
        <w:t>their care support reviewed to ensure appropriate provision which promotes independence.</w:t>
      </w:r>
    </w:p>
    <w:p w:rsidR="002B0524" w:rsidRDefault="002B0524" w:rsidP="001A3FAD"/>
    <w:p w:rsidR="001A3FAD" w:rsidRDefault="001A3FAD" w:rsidP="001A3FAD">
      <w:r>
        <w:t xml:space="preserve">As at the </w:t>
      </w:r>
      <w:r w:rsidR="00AF03E2">
        <w:t>middle of November 2019:</w:t>
      </w:r>
    </w:p>
    <w:p w:rsidR="00AF03E2" w:rsidRPr="00AF03E2" w:rsidRDefault="00AF03E2" w:rsidP="00AF03E2">
      <w:pPr>
        <w:numPr>
          <w:ilvl w:val="0"/>
          <w:numId w:val="34"/>
        </w:numPr>
        <w:spacing w:before="40" w:after="40"/>
        <w:rPr>
          <w:rFonts w:cs="Arial"/>
        </w:rPr>
      </w:pPr>
      <w:r w:rsidRPr="00AF03E2">
        <w:rPr>
          <w:rFonts w:cs="Arial"/>
        </w:rPr>
        <w:t xml:space="preserve">46 of those citizens have been reviewed. The remaining 5 will </w:t>
      </w:r>
      <w:r w:rsidR="00D5758F">
        <w:rPr>
          <w:rFonts w:cs="Arial"/>
        </w:rPr>
        <w:t xml:space="preserve">have </w:t>
      </w:r>
      <w:r w:rsidRPr="00AF03E2">
        <w:rPr>
          <w:rFonts w:cs="Arial"/>
        </w:rPr>
        <w:t>be</w:t>
      </w:r>
      <w:r w:rsidR="00D5758F">
        <w:rPr>
          <w:rFonts w:cs="Arial"/>
        </w:rPr>
        <w:t>en</w:t>
      </w:r>
      <w:r w:rsidRPr="00AF03E2">
        <w:rPr>
          <w:rFonts w:cs="Arial"/>
        </w:rPr>
        <w:t xml:space="preserve"> reviewed</w:t>
      </w:r>
      <w:r w:rsidR="00D5758F">
        <w:rPr>
          <w:rFonts w:cs="Arial"/>
        </w:rPr>
        <w:t xml:space="preserve"> by the end of </w:t>
      </w:r>
      <w:r w:rsidRPr="00AF03E2">
        <w:rPr>
          <w:rFonts w:cs="Arial"/>
        </w:rPr>
        <w:t>Dec</w:t>
      </w:r>
      <w:r w:rsidR="00D5758F">
        <w:rPr>
          <w:rFonts w:cs="Arial"/>
        </w:rPr>
        <w:t>ember</w:t>
      </w:r>
      <w:r w:rsidRPr="00AF03E2">
        <w:rPr>
          <w:rFonts w:cs="Arial"/>
        </w:rPr>
        <w:t xml:space="preserve">  2019 </w:t>
      </w:r>
    </w:p>
    <w:p w:rsidR="00AF03E2" w:rsidRPr="00AF03E2" w:rsidRDefault="00AF03E2" w:rsidP="00AF03E2">
      <w:pPr>
        <w:numPr>
          <w:ilvl w:val="0"/>
          <w:numId w:val="34"/>
        </w:numPr>
        <w:spacing w:before="40" w:after="40"/>
        <w:rPr>
          <w:rFonts w:cs="Arial"/>
        </w:rPr>
      </w:pPr>
      <w:r w:rsidRPr="00AF03E2">
        <w:rPr>
          <w:rFonts w:cs="Arial"/>
        </w:rPr>
        <w:t xml:space="preserve">14 have had their care plans revised to promote their wellbeing through more cost effective care plans </w:t>
      </w:r>
    </w:p>
    <w:p w:rsidR="00AF03E2" w:rsidRPr="00AF03E2" w:rsidRDefault="00AF03E2" w:rsidP="00AF03E2">
      <w:pPr>
        <w:numPr>
          <w:ilvl w:val="0"/>
          <w:numId w:val="34"/>
        </w:numPr>
        <w:spacing w:before="40" w:after="40"/>
        <w:rPr>
          <w:rFonts w:cs="Arial"/>
        </w:rPr>
      </w:pPr>
      <w:r w:rsidRPr="00AF03E2">
        <w:rPr>
          <w:rFonts w:cs="Arial"/>
        </w:rPr>
        <w:t xml:space="preserve">9 have moved to more independent settings </w:t>
      </w:r>
    </w:p>
    <w:p w:rsidR="00AF03E2" w:rsidRPr="00AF03E2" w:rsidRDefault="00AF03E2" w:rsidP="00AF03E2">
      <w:pPr>
        <w:numPr>
          <w:ilvl w:val="0"/>
          <w:numId w:val="34"/>
        </w:numPr>
        <w:spacing w:before="40" w:after="40"/>
        <w:rPr>
          <w:rFonts w:cs="Arial"/>
        </w:rPr>
      </w:pPr>
      <w:r w:rsidRPr="00AF03E2">
        <w:rPr>
          <w:rFonts w:cs="Arial"/>
        </w:rPr>
        <w:t xml:space="preserve">23 </w:t>
      </w:r>
      <w:r w:rsidRPr="00AF03E2">
        <w:rPr>
          <w:szCs w:val="24"/>
        </w:rPr>
        <w:t>have had no changes to support</w:t>
      </w:r>
    </w:p>
    <w:p w:rsidR="001A3FAD" w:rsidRDefault="001A3FAD" w:rsidP="001A3FAD"/>
    <w:p w:rsidR="001A3FAD" w:rsidRDefault="00465728" w:rsidP="001A3FAD">
      <w:r>
        <w:t>In 2019-20 an MTFS saving of £400K was planned and c</w:t>
      </w:r>
      <w:r w:rsidR="001A3FAD">
        <w:t xml:space="preserve">hanges to care packages </w:t>
      </w:r>
      <w:r w:rsidR="00AF03E2">
        <w:t xml:space="preserve">are predicted to achieve this in full with </w:t>
      </w:r>
      <w:r w:rsidR="001A3FAD">
        <w:t>savings of £</w:t>
      </w:r>
      <w:r w:rsidR="00AF03E2">
        <w:t>312</w:t>
      </w:r>
      <w:r w:rsidR="001A3FAD">
        <w:t>,000</w:t>
      </w:r>
      <w:r w:rsidR="00AF03E2">
        <w:t xml:space="preserve"> delivered</w:t>
      </w:r>
      <w:r w:rsidR="001A3FAD">
        <w:t xml:space="preserve"> </w:t>
      </w:r>
      <w:r>
        <w:t>to date</w:t>
      </w:r>
      <w:r w:rsidR="00AF03E2">
        <w:t xml:space="preserve">.  </w:t>
      </w:r>
    </w:p>
    <w:p w:rsidR="001A3FAD" w:rsidRDefault="001A3FAD"/>
    <w:p w:rsidR="001A3FAD" w:rsidRPr="001A3FAD" w:rsidRDefault="001A3FAD" w:rsidP="001A3FAD">
      <w:pPr>
        <w:rPr>
          <w:b/>
        </w:rPr>
      </w:pPr>
      <w:proofErr w:type="gramStart"/>
      <w:r w:rsidRPr="001A3FAD">
        <w:rPr>
          <w:b/>
        </w:rPr>
        <w:t>ii</w:t>
      </w:r>
      <w:proofErr w:type="gramEnd"/>
      <w:r w:rsidRPr="001A3FAD">
        <w:rPr>
          <w:b/>
        </w:rPr>
        <w:t xml:space="preserve"> Learning Disabilities Integration project</w:t>
      </w:r>
    </w:p>
    <w:p w:rsidR="001A3FAD" w:rsidRDefault="001A3FAD" w:rsidP="001A3FAD"/>
    <w:p w:rsidR="0091176A" w:rsidRDefault="0091176A" w:rsidP="0091176A">
      <w:pPr>
        <w:rPr>
          <w:rFonts w:cs="Arial"/>
        </w:rPr>
      </w:pPr>
      <w:r>
        <w:t xml:space="preserve">Also part of the wider Learning Disability and Autism strategy. An </w:t>
      </w:r>
      <w:r>
        <w:rPr>
          <w:rFonts w:cs="Arial"/>
        </w:rPr>
        <w:t xml:space="preserve">integrated and co-located Learning Disabilities service in partnership with NHS colleagues is being established which will deliver </w:t>
      </w:r>
      <w:r w:rsidRPr="00C95724">
        <w:rPr>
          <w:rFonts w:cs="Arial"/>
        </w:rPr>
        <w:t>better outcomes through more integrated</w:t>
      </w:r>
      <w:r w:rsidR="00512672">
        <w:rPr>
          <w:rFonts w:cs="Arial"/>
        </w:rPr>
        <w:t xml:space="preserve"> working, including joint approaches to commissioning of care. </w:t>
      </w:r>
    </w:p>
    <w:p w:rsidR="00512672" w:rsidRDefault="00512672" w:rsidP="0091176A">
      <w:pPr>
        <w:rPr>
          <w:rFonts w:cs="Arial"/>
        </w:rPr>
      </w:pPr>
    </w:p>
    <w:p w:rsidR="00512672" w:rsidRDefault="00512672" w:rsidP="0091176A">
      <w:pPr>
        <w:rPr>
          <w:rFonts w:cs="Arial"/>
        </w:rPr>
      </w:pPr>
      <w:r>
        <w:rPr>
          <w:rFonts w:cs="Arial"/>
        </w:rPr>
        <w:t>The service include</w:t>
      </w:r>
      <w:r w:rsidR="00222FEC">
        <w:rPr>
          <w:rFonts w:cs="Arial"/>
        </w:rPr>
        <w:t>s</w:t>
      </w:r>
      <w:r>
        <w:rPr>
          <w:rFonts w:cs="Arial"/>
        </w:rPr>
        <w:t xml:space="preserve"> various </w:t>
      </w:r>
      <w:proofErr w:type="spellStart"/>
      <w:r>
        <w:rPr>
          <w:rFonts w:cs="Arial"/>
        </w:rPr>
        <w:t>Chidrens</w:t>
      </w:r>
      <w:proofErr w:type="spellEnd"/>
      <w:r>
        <w:rPr>
          <w:rFonts w:cs="Arial"/>
        </w:rPr>
        <w:t xml:space="preserve"> services teams as well as the Council’s all age Learning Disabilities teams and Health services including psychiatry, physiotherapy, occupational therapy, speech and language and behavioural therapists. </w:t>
      </w:r>
    </w:p>
    <w:p w:rsidR="00512672" w:rsidRDefault="00512672" w:rsidP="0091176A">
      <w:pPr>
        <w:rPr>
          <w:rFonts w:cs="Arial"/>
        </w:rPr>
      </w:pPr>
    </w:p>
    <w:p w:rsidR="00512672" w:rsidRDefault="00512672" w:rsidP="0091176A">
      <w:pPr>
        <w:rPr>
          <w:rFonts w:cs="Arial"/>
        </w:rPr>
      </w:pPr>
      <w:r>
        <w:rPr>
          <w:rFonts w:cs="Arial"/>
        </w:rPr>
        <w:t>The new integrated service move</w:t>
      </w:r>
      <w:r w:rsidR="00222FEC">
        <w:rPr>
          <w:rFonts w:cs="Arial"/>
        </w:rPr>
        <w:t>d</w:t>
      </w:r>
      <w:r>
        <w:rPr>
          <w:rFonts w:cs="Arial"/>
        </w:rPr>
        <w:t xml:space="preserve"> into Civic 5 and 6 during November and December 2019 and these arrangements will be kept under review during 2020. </w:t>
      </w:r>
    </w:p>
    <w:p w:rsidR="0091176A" w:rsidRDefault="0091176A" w:rsidP="0091176A">
      <w:pPr>
        <w:rPr>
          <w:rFonts w:cs="Arial"/>
        </w:rPr>
      </w:pPr>
    </w:p>
    <w:p w:rsidR="0080592D" w:rsidRDefault="001A3FAD">
      <w:pPr>
        <w:rPr>
          <w:b/>
        </w:rPr>
      </w:pPr>
      <w:proofErr w:type="gramStart"/>
      <w:r>
        <w:rPr>
          <w:b/>
        </w:rPr>
        <w:t>iii</w:t>
      </w:r>
      <w:proofErr w:type="gramEnd"/>
      <w:r w:rsidR="0080592D" w:rsidRPr="001A3FAD">
        <w:rPr>
          <w:b/>
        </w:rPr>
        <w:t xml:space="preserve"> Three Conversations project</w:t>
      </w:r>
    </w:p>
    <w:p w:rsidR="00434108" w:rsidRDefault="00434108">
      <w:pPr>
        <w:rPr>
          <w:b/>
        </w:rPr>
      </w:pPr>
    </w:p>
    <w:p w:rsidR="00434108" w:rsidRDefault="00434108">
      <w:r>
        <w:t>The ‘3 conversations</w:t>
      </w:r>
      <w:r w:rsidR="00062C2A">
        <w:t>’</w:t>
      </w:r>
      <w:r>
        <w:t xml:space="preserve"> model is an innovative approach to needs assessment and care planning. It focuses primarily on people’s strengths and community </w:t>
      </w:r>
      <w:r>
        <w:lastRenderedPageBreak/>
        <w:t>assets. It supports frontline professionals to have three distinct and specific conversations with people.</w:t>
      </w:r>
      <w:r w:rsidR="00FC6C6E">
        <w:t xml:space="preserve"> These conversations:</w:t>
      </w:r>
    </w:p>
    <w:p w:rsidR="00FC6C6E" w:rsidRDefault="00FC6C6E"/>
    <w:p w:rsidR="00434108" w:rsidRPr="00FC6C6E" w:rsidRDefault="00434108" w:rsidP="00A8150C">
      <w:pPr>
        <w:pStyle w:val="ListParagraph"/>
        <w:numPr>
          <w:ilvl w:val="0"/>
          <w:numId w:val="25"/>
        </w:numPr>
        <w:rPr>
          <w:sz w:val="24"/>
          <w:szCs w:val="24"/>
        </w:rPr>
      </w:pPr>
      <w:proofErr w:type="gramStart"/>
      <w:r w:rsidRPr="00FC6C6E">
        <w:rPr>
          <w:sz w:val="24"/>
          <w:szCs w:val="24"/>
        </w:rPr>
        <w:t>explore</w:t>
      </w:r>
      <w:proofErr w:type="gramEnd"/>
      <w:r w:rsidR="00190D62" w:rsidRPr="00FC6C6E">
        <w:rPr>
          <w:sz w:val="24"/>
          <w:szCs w:val="24"/>
        </w:rPr>
        <w:t xml:space="preserve"> people’s needs and connect them to personal, family and community sources of support that may be available.</w:t>
      </w:r>
    </w:p>
    <w:p w:rsidR="00190D62" w:rsidRPr="00FC6C6E" w:rsidRDefault="00190D62" w:rsidP="00A8150C">
      <w:pPr>
        <w:pStyle w:val="ListParagraph"/>
        <w:numPr>
          <w:ilvl w:val="0"/>
          <w:numId w:val="25"/>
        </w:numPr>
        <w:rPr>
          <w:sz w:val="24"/>
          <w:szCs w:val="24"/>
        </w:rPr>
      </w:pPr>
      <w:proofErr w:type="gramStart"/>
      <w:r w:rsidRPr="00FC6C6E">
        <w:rPr>
          <w:sz w:val="24"/>
          <w:szCs w:val="24"/>
        </w:rPr>
        <w:t>assess</w:t>
      </w:r>
      <w:proofErr w:type="gramEnd"/>
      <w:r w:rsidRPr="00FC6C6E">
        <w:rPr>
          <w:sz w:val="24"/>
          <w:szCs w:val="24"/>
        </w:rPr>
        <w:t xml:space="preserve"> levels of risk and any crisis contingencies that may be needed, and how to address these.</w:t>
      </w:r>
    </w:p>
    <w:p w:rsidR="00190D62" w:rsidRPr="00FC6C6E" w:rsidRDefault="00190D62" w:rsidP="00A8150C">
      <w:pPr>
        <w:pStyle w:val="ListParagraph"/>
        <w:numPr>
          <w:ilvl w:val="0"/>
          <w:numId w:val="25"/>
        </w:numPr>
        <w:rPr>
          <w:sz w:val="24"/>
          <w:szCs w:val="24"/>
        </w:rPr>
      </w:pPr>
      <w:proofErr w:type="gramStart"/>
      <w:r w:rsidRPr="00FC6C6E">
        <w:rPr>
          <w:sz w:val="24"/>
          <w:szCs w:val="24"/>
        </w:rPr>
        <w:t>focus</w:t>
      </w:r>
      <w:proofErr w:type="gramEnd"/>
      <w:r w:rsidRPr="00FC6C6E">
        <w:rPr>
          <w:sz w:val="24"/>
          <w:szCs w:val="24"/>
        </w:rPr>
        <w:t xml:space="preserve"> on long-term outcomes and planning, built around what a good life looks like to the citizen, and how best to mobilise the resources needed and community assets available.</w:t>
      </w:r>
    </w:p>
    <w:p w:rsidR="00190D62" w:rsidRDefault="00190D62"/>
    <w:p w:rsidR="00190D62" w:rsidRDefault="00190D62">
      <w:r>
        <w:t xml:space="preserve">The model is being implemented gradually in Harrow with plans to establish three ‘innovation sites’ trialling the approach during 2019/20. In June the Early Intervention and Prevention team together with some staff from Access </w:t>
      </w:r>
      <w:r w:rsidR="00FC6C6E">
        <w:t>H</w:t>
      </w:r>
      <w:r>
        <w:t xml:space="preserve">arrow began to use the three conversations model. The second ‘innovation site’ </w:t>
      </w:r>
      <w:r w:rsidR="00F9686E">
        <w:t xml:space="preserve">will be </w:t>
      </w:r>
      <w:r>
        <w:t>launch</w:t>
      </w:r>
      <w:r w:rsidR="00F9686E">
        <w:t>ed</w:t>
      </w:r>
      <w:r>
        <w:t xml:space="preserve"> in </w:t>
      </w:r>
      <w:r w:rsidR="00F9686E">
        <w:t xml:space="preserve">January </w:t>
      </w:r>
      <w:r>
        <w:t>20</w:t>
      </w:r>
      <w:r w:rsidR="00F9686E">
        <w:t>20</w:t>
      </w:r>
      <w:r>
        <w:t xml:space="preserve"> with a third to follow</w:t>
      </w:r>
      <w:r w:rsidR="00F9686E">
        <w:t xml:space="preserve"> before March. </w:t>
      </w:r>
      <w:r>
        <w:t xml:space="preserve"> </w:t>
      </w:r>
    </w:p>
    <w:p w:rsidR="00190D62" w:rsidRDefault="00190D62"/>
    <w:p w:rsidR="00190D62" w:rsidRDefault="00190D62">
      <w:r>
        <w:t xml:space="preserve">While still at an early stage, some positive effects are beginning to be seen in terms of demand management and responding creatively to meet needs. </w:t>
      </w:r>
    </w:p>
    <w:p w:rsidR="0007436A" w:rsidRDefault="0007436A"/>
    <w:p w:rsidR="0084779F" w:rsidRPr="0084779F" w:rsidRDefault="0084779F" w:rsidP="0084779F">
      <w:r w:rsidRPr="0084779F">
        <w:rPr>
          <w:rFonts w:cs="Arial"/>
        </w:rPr>
        <w:t xml:space="preserve">Qualitative telephone surveys have been undertaken and residents have been </w:t>
      </w:r>
      <w:r w:rsidR="00D86AD7">
        <w:rPr>
          <w:rFonts w:cs="Arial"/>
        </w:rPr>
        <w:t>largely</w:t>
      </w:r>
      <w:r w:rsidRPr="0084779F">
        <w:rPr>
          <w:rFonts w:cs="Arial"/>
        </w:rPr>
        <w:t xml:space="preserve"> complimentary about the service they have received from social care staff using this model.</w:t>
      </w:r>
    </w:p>
    <w:p w:rsidR="0084779F" w:rsidRPr="0084779F" w:rsidRDefault="0084779F" w:rsidP="00ED5BA3"/>
    <w:p w:rsidR="00ED5BA3" w:rsidRDefault="0007436A" w:rsidP="00ED5BA3">
      <w:pPr>
        <w:rPr>
          <w:rFonts w:cs="Arial"/>
          <w:iCs/>
        </w:rPr>
      </w:pPr>
      <w:r w:rsidRPr="0084779F">
        <w:t xml:space="preserve">Under traditional ways of working, 15% of </w:t>
      </w:r>
      <w:r w:rsidR="00D86AD7">
        <w:t xml:space="preserve">community based </w:t>
      </w:r>
      <w:r w:rsidRPr="0084779F">
        <w:t xml:space="preserve">cases were successfully resolved by the Access Harrow Team. </w:t>
      </w:r>
      <w:r w:rsidR="00ED5BA3" w:rsidRPr="0084779F">
        <w:rPr>
          <w:rFonts w:cs="Arial"/>
          <w:iCs/>
        </w:rPr>
        <w:t xml:space="preserve">Comparatively, in the innovation site, </w:t>
      </w:r>
      <w:r w:rsidR="00576B43">
        <w:rPr>
          <w:rFonts w:cs="Arial"/>
          <w:iCs/>
        </w:rPr>
        <w:t>88</w:t>
      </w:r>
      <w:r w:rsidR="00ED5BA3" w:rsidRPr="0084779F">
        <w:rPr>
          <w:rFonts w:cs="Arial"/>
          <w:iCs/>
        </w:rPr>
        <w:t xml:space="preserve">% of cases are successfully resolved at Conversation One. This leads to 4 service users a week going onto Conversation Two compared to 41 service users a week being passed on by Access Harrow under the ‘old’ way of working. </w:t>
      </w:r>
    </w:p>
    <w:p w:rsidR="0084779F" w:rsidRDefault="0084779F" w:rsidP="00ED5BA3">
      <w:pPr>
        <w:rPr>
          <w:rFonts w:cs="Arial"/>
          <w:iCs/>
        </w:rPr>
      </w:pPr>
    </w:p>
    <w:p w:rsidR="0084779F" w:rsidRDefault="0084779F" w:rsidP="00ED5BA3">
      <w:pPr>
        <w:rPr>
          <w:rFonts w:cs="Arial"/>
          <w:iCs/>
        </w:rPr>
      </w:pPr>
      <w:r>
        <w:rPr>
          <w:rFonts w:cs="Arial"/>
          <w:iCs/>
        </w:rPr>
        <w:t>The project has contributed to a decrease in the number of new long term service users starting each week from community based from</w:t>
      </w:r>
      <w:r w:rsidR="00DC3EBB">
        <w:rPr>
          <w:rFonts w:cs="Arial"/>
          <w:iCs/>
        </w:rPr>
        <w:t xml:space="preserve"> 7.2 per week in March 2019 to 5.7</w:t>
      </w:r>
      <w:r>
        <w:rPr>
          <w:rFonts w:cs="Arial"/>
          <w:iCs/>
        </w:rPr>
        <w:t xml:space="preserve"> per week in </w:t>
      </w:r>
      <w:r w:rsidR="00DC3EBB">
        <w:rPr>
          <w:rFonts w:cs="Arial"/>
          <w:iCs/>
        </w:rPr>
        <w:t xml:space="preserve">October </w:t>
      </w:r>
      <w:r>
        <w:rPr>
          <w:rFonts w:cs="Arial"/>
          <w:iCs/>
        </w:rPr>
        <w:t>2019.</w:t>
      </w:r>
      <w:r w:rsidR="00FC6C6E">
        <w:rPr>
          <w:rFonts w:cs="Arial"/>
          <w:iCs/>
        </w:rPr>
        <w:t xml:space="preserve"> </w:t>
      </w:r>
    </w:p>
    <w:p w:rsidR="00FC6C6E" w:rsidRDefault="00FC6C6E" w:rsidP="00ED5BA3">
      <w:pPr>
        <w:rPr>
          <w:rFonts w:cs="Arial"/>
          <w:iCs/>
        </w:rPr>
      </w:pPr>
    </w:p>
    <w:p w:rsidR="00FC6C6E" w:rsidRDefault="00FC6C6E" w:rsidP="00ED5BA3">
      <w:pPr>
        <w:rPr>
          <w:rFonts w:cs="Arial"/>
          <w:iCs/>
        </w:rPr>
      </w:pPr>
      <w:r>
        <w:rPr>
          <w:rFonts w:cs="Arial"/>
          <w:iCs/>
        </w:rPr>
        <w:t xml:space="preserve">The project is </w:t>
      </w:r>
      <w:r w:rsidR="001A0EE4">
        <w:rPr>
          <w:rFonts w:cs="Arial"/>
          <w:iCs/>
        </w:rPr>
        <w:t xml:space="preserve">beginning to assist in managing demand and costs associated with meeting needs, </w:t>
      </w:r>
      <w:r w:rsidR="00A8712D">
        <w:rPr>
          <w:rFonts w:cs="Arial"/>
          <w:iCs/>
        </w:rPr>
        <w:t>specifically in relation to community based referrals. O</w:t>
      </w:r>
      <w:r w:rsidR="001A0EE4">
        <w:rPr>
          <w:rFonts w:cs="Arial"/>
          <w:iCs/>
        </w:rPr>
        <w:t>n-going performance will be kept under review as the model is rolled out.</w:t>
      </w:r>
    </w:p>
    <w:p w:rsidR="00E0012F" w:rsidRDefault="00E0012F"/>
    <w:p w:rsidR="00E0012F" w:rsidRDefault="00E0012F"/>
    <w:p w:rsidR="0080592D" w:rsidRPr="00AF599F" w:rsidRDefault="0080592D">
      <w:pPr>
        <w:rPr>
          <w:b/>
        </w:rPr>
      </w:pPr>
      <w:proofErr w:type="gramStart"/>
      <w:r w:rsidRPr="00AF599F">
        <w:rPr>
          <w:b/>
        </w:rPr>
        <w:t>i</w:t>
      </w:r>
      <w:r w:rsidR="001A3FAD" w:rsidRPr="00AF599F">
        <w:rPr>
          <w:b/>
        </w:rPr>
        <w:t>v</w:t>
      </w:r>
      <w:proofErr w:type="gramEnd"/>
      <w:r w:rsidRPr="00AF599F">
        <w:rPr>
          <w:b/>
        </w:rPr>
        <w:t xml:space="preserve"> Hospital Discharge and </w:t>
      </w:r>
      <w:proofErr w:type="spellStart"/>
      <w:r w:rsidRPr="00AF599F">
        <w:rPr>
          <w:b/>
        </w:rPr>
        <w:t>Reablement</w:t>
      </w:r>
      <w:proofErr w:type="spellEnd"/>
      <w:r w:rsidRPr="00AF599F">
        <w:rPr>
          <w:b/>
        </w:rPr>
        <w:t xml:space="preserve"> projects</w:t>
      </w:r>
    </w:p>
    <w:p w:rsidR="0080592D" w:rsidRDefault="0080592D"/>
    <w:p w:rsidR="002C1ED6" w:rsidRDefault="00025784">
      <w:r>
        <w:t>These two closely linked projects emerged from the restructure of services and implementation of new processes and care pathways in 2018</w:t>
      </w:r>
      <w:r w:rsidR="006B23FB">
        <w:t xml:space="preserve">. </w:t>
      </w:r>
      <w:r>
        <w:t xml:space="preserve"> </w:t>
      </w:r>
      <w:r w:rsidR="006B23FB">
        <w:t>T</w:t>
      </w:r>
      <w:r>
        <w:t>he second stage project</w:t>
      </w:r>
      <w:r w:rsidR="006B23FB">
        <w:t>s were</w:t>
      </w:r>
      <w:r>
        <w:t xml:space="preserve"> established to oversee and review the effectiveness of these new arrangements.</w:t>
      </w:r>
    </w:p>
    <w:p w:rsidR="00025784" w:rsidRDefault="00025784"/>
    <w:p w:rsidR="00025784" w:rsidRDefault="00D02013">
      <w:r>
        <w:t xml:space="preserve">The overall aims of the projects </w:t>
      </w:r>
      <w:r w:rsidR="008E0D81">
        <w:t>include</w:t>
      </w:r>
      <w:r>
        <w:t>:</w:t>
      </w:r>
    </w:p>
    <w:p w:rsidR="00D02013" w:rsidRPr="008E0D81" w:rsidRDefault="00D02013" w:rsidP="00A8150C">
      <w:pPr>
        <w:pStyle w:val="ListParagraph"/>
        <w:numPr>
          <w:ilvl w:val="0"/>
          <w:numId w:val="23"/>
        </w:numPr>
        <w:rPr>
          <w:sz w:val="24"/>
          <w:szCs w:val="24"/>
        </w:rPr>
      </w:pPr>
      <w:r w:rsidRPr="008E0D81">
        <w:rPr>
          <w:sz w:val="24"/>
          <w:szCs w:val="24"/>
        </w:rPr>
        <w:t>To ensure people are discharged from hospital in a timely manner</w:t>
      </w:r>
    </w:p>
    <w:p w:rsidR="00D02013" w:rsidRPr="008E0D81" w:rsidRDefault="00D02013" w:rsidP="00A8150C">
      <w:pPr>
        <w:pStyle w:val="ListParagraph"/>
        <w:numPr>
          <w:ilvl w:val="0"/>
          <w:numId w:val="23"/>
        </w:numPr>
        <w:rPr>
          <w:sz w:val="24"/>
          <w:szCs w:val="24"/>
        </w:rPr>
      </w:pPr>
      <w:r w:rsidRPr="008E0D81">
        <w:rPr>
          <w:sz w:val="24"/>
          <w:szCs w:val="24"/>
        </w:rPr>
        <w:t>To keep Delayed Discharge from Hospital (</w:t>
      </w:r>
      <w:proofErr w:type="spellStart"/>
      <w:r w:rsidRPr="008E0D81">
        <w:rPr>
          <w:sz w:val="24"/>
          <w:szCs w:val="24"/>
        </w:rPr>
        <w:t>DToC</w:t>
      </w:r>
      <w:proofErr w:type="spellEnd"/>
      <w:r w:rsidRPr="008E0D81">
        <w:rPr>
          <w:sz w:val="24"/>
          <w:szCs w:val="24"/>
        </w:rPr>
        <w:t>) performance within national guidelines</w:t>
      </w:r>
    </w:p>
    <w:p w:rsidR="00D02013" w:rsidRPr="008E0D81" w:rsidRDefault="00D02013" w:rsidP="00A8150C">
      <w:pPr>
        <w:pStyle w:val="ListParagraph"/>
        <w:numPr>
          <w:ilvl w:val="0"/>
          <w:numId w:val="23"/>
        </w:numPr>
        <w:rPr>
          <w:sz w:val="24"/>
          <w:szCs w:val="24"/>
        </w:rPr>
      </w:pPr>
      <w:r w:rsidRPr="008E0D81">
        <w:rPr>
          <w:sz w:val="24"/>
          <w:szCs w:val="24"/>
        </w:rPr>
        <w:lastRenderedPageBreak/>
        <w:t xml:space="preserve">To better target </w:t>
      </w:r>
      <w:proofErr w:type="spellStart"/>
      <w:r w:rsidRPr="008E0D81">
        <w:rPr>
          <w:sz w:val="24"/>
          <w:szCs w:val="24"/>
        </w:rPr>
        <w:t>reablement</w:t>
      </w:r>
      <w:proofErr w:type="spellEnd"/>
      <w:r w:rsidRPr="008E0D81">
        <w:rPr>
          <w:sz w:val="24"/>
          <w:szCs w:val="24"/>
        </w:rPr>
        <w:t xml:space="preserve"> support </w:t>
      </w:r>
      <w:r w:rsidR="008E0D81" w:rsidRPr="008E0D81">
        <w:rPr>
          <w:sz w:val="24"/>
          <w:szCs w:val="24"/>
        </w:rPr>
        <w:t xml:space="preserve">to those most likely to benefit and increase the number of people who require no long term care after a 6 week </w:t>
      </w:r>
      <w:proofErr w:type="spellStart"/>
      <w:r w:rsidR="008E0D81" w:rsidRPr="008E0D81">
        <w:rPr>
          <w:sz w:val="24"/>
          <w:szCs w:val="24"/>
        </w:rPr>
        <w:t>reablement</w:t>
      </w:r>
      <w:proofErr w:type="spellEnd"/>
      <w:r w:rsidR="008E0D81" w:rsidRPr="008E0D81">
        <w:rPr>
          <w:sz w:val="24"/>
          <w:szCs w:val="24"/>
        </w:rPr>
        <w:t xml:space="preserve"> intervention</w:t>
      </w:r>
    </w:p>
    <w:p w:rsidR="008E0D81" w:rsidRPr="008E0D81" w:rsidRDefault="008E0D81" w:rsidP="00A8150C">
      <w:pPr>
        <w:pStyle w:val="ListParagraph"/>
        <w:numPr>
          <w:ilvl w:val="0"/>
          <w:numId w:val="23"/>
        </w:numPr>
        <w:rPr>
          <w:sz w:val="24"/>
          <w:szCs w:val="24"/>
        </w:rPr>
      </w:pPr>
      <w:r w:rsidRPr="008E0D81">
        <w:rPr>
          <w:sz w:val="24"/>
          <w:szCs w:val="24"/>
        </w:rPr>
        <w:t xml:space="preserve">To maximise increase the number of community based referrals benefitting from </w:t>
      </w:r>
      <w:proofErr w:type="spellStart"/>
      <w:r w:rsidRPr="008E0D81">
        <w:rPr>
          <w:sz w:val="24"/>
          <w:szCs w:val="24"/>
        </w:rPr>
        <w:t>reablement</w:t>
      </w:r>
      <w:proofErr w:type="spellEnd"/>
    </w:p>
    <w:p w:rsidR="008E0D81" w:rsidRPr="008E0D81" w:rsidRDefault="008E0D81" w:rsidP="00A8150C">
      <w:pPr>
        <w:pStyle w:val="ListParagraph"/>
        <w:numPr>
          <w:ilvl w:val="0"/>
          <w:numId w:val="23"/>
        </w:numPr>
        <w:rPr>
          <w:sz w:val="24"/>
          <w:szCs w:val="24"/>
        </w:rPr>
      </w:pPr>
      <w:r w:rsidRPr="008E0D81">
        <w:rPr>
          <w:sz w:val="24"/>
          <w:szCs w:val="24"/>
        </w:rPr>
        <w:t>To contribute to a reduction in the number of people permanently admitted to residential or nursing care</w:t>
      </w:r>
    </w:p>
    <w:p w:rsidR="00025784" w:rsidRDefault="00025784"/>
    <w:p w:rsidR="008E0D81" w:rsidRDefault="008E0D81">
      <w:r>
        <w:t>Monitoring information shows that the new structures and processes have already proven successful in achieving a number of these aims.</w:t>
      </w:r>
    </w:p>
    <w:p w:rsidR="006B23FB" w:rsidRDefault="006B23FB"/>
    <w:p w:rsidR="006B23FB" w:rsidRDefault="006B23FB" w:rsidP="006B23FB">
      <w:r>
        <w:t xml:space="preserve">The initial restructure of the </w:t>
      </w:r>
      <w:proofErr w:type="spellStart"/>
      <w:r>
        <w:t>reablement</w:t>
      </w:r>
      <w:proofErr w:type="spellEnd"/>
      <w:r>
        <w:t xml:space="preserve"> service with a more targeted approach was demonstrated by  a significant improvement in the number of </w:t>
      </w:r>
      <w:r w:rsidR="00122783">
        <w:t xml:space="preserve">older </w:t>
      </w:r>
      <w:r>
        <w:t xml:space="preserve">people still at home 91 days after receiving </w:t>
      </w:r>
      <w:proofErr w:type="spellStart"/>
      <w:r>
        <w:t>reablement</w:t>
      </w:r>
      <w:proofErr w:type="spellEnd"/>
      <w:r>
        <w:t xml:space="preserve"> support following hospital discharge from 75.7% in March 201</w:t>
      </w:r>
      <w:r w:rsidR="00122783">
        <w:t>8</w:t>
      </w:r>
      <w:r>
        <w:t xml:space="preserve"> to 93.1% in </w:t>
      </w:r>
      <w:r w:rsidR="00122783">
        <w:t>March</w:t>
      </w:r>
      <w:r>
        <w:t xml:space="preserve"> 2019.</w:t>
      </w:r>
    </w:p>
    <w:p w:rsidR="00122783" w:rsidRDefault="00122783" w:rsidP="006B23FB"/>
    <w:p w:rsidR="00122783" w:rsidRDefault="00122783" w:rsidP="006B23FB">
      <w:r>
        <w:t xml:space="preserve">There has been an increasing number of people receiving </w:t>
      </w:r>
      <w:proofErr w:type="spellStart"/>
      <w:r>
        <w:t>reablement</w:t>
      </w:r>
      <w:proofErr w:type="spellEnd"/>
      <w:r>
        <w:t xml:space="preserve"> support from community based referrals coming out of the 3 Conversations initiative, though most such care is provided to those leaving hospital. Across all ages and referral routes, some 75% of </w:t>
      </w:r>
      <w:r w:rsidR="000F4ACC">
        <w:t xml:space="preserve">people receiving </w:t>
      </w:r>
      <w:proofErr w:type="spellStart"/>
      <w:r>
        <w:t>reablement</w:t>
      </w:r>
      <w:proofErr w:type="spellEnd"/>
      <w:r w:rsidR="000F4ACC">
        <w:t xml:space="preserve"> require no on-going care package following completion of the 6 weeks of support.</w:t>
      </w:r>
      <w:r>
        <w:t xml:space="preserve"> </w:t>
      </w:r>
    </w:p>
    <w:p w:rsidR="006B23FB" w:rsidRDefault="006B23FB" w:rsidP="006B23FB"/>
    <w:p w:rsidR="008E0D81" w:rsidRDefault="009A23DA">
      <w:r>
        <w:t xml:space="preserve">In terms of </w:t>
      </w:r>
      <w:r w:rsidR="000F4ACC">
        <w:t>delayed hospital transfers of care (</w:t>
      </w:r>
      <w:proofErr w:type="spellStart"/>
      <w:r>
        <w:t>DToC</w:t>
      </w:r>
      <w:proofErr w:type="spellEnd"/>
      <w:r w:rsidR="000F4ACC">
        <w:t>)</w:t>
      </w:r>
      <w:r>
        <w:t>, performance has improved from 7.</w:t>
      </w:r>
      <w:r w:rsidR="00576B43">
        <w:t>8</w:t>
      </w:r>
      <w:r>
        <w:t xml:space="preserve"> </w:t>
      </w:r>
      <w:r w:rsidR="000F4ACC">
        <w:t xml:space="preserve">delayed days </w:t>
      </w:r>
      <w:r>
        <w:t xml:space="preserve">per 100,000 </w:t>
      </w:r>
      <w:proofErr w:type="gramStart"/>
      <w:r>
        <w:t>population</w:t>
      </w:r>
      <w:proofErr w:type="gramEnd"/>
      <w:r>
        <w:t xml:space="preserve"> to 5</w:t>
      </w:r>
      <w:r w:rsidR="00576B43">
        <w:t>.5</w:t>
      </w:r>
      <w:r>
        <w:t xml:space="preserve"> which is within national guidelines and places Harrow 1</w:t>
      </w:r>
      <w:r w:rsidR="000F4ACC">
        <w:t>1</w:t>
      </w:r>
      <w:r w:rsidRPr="009A23DA">
        <w:rPr>
          <w:vertAlign w:val="superscript"/>
        </w:rPr>
        <w:t>th</w:t>
      </w:r>
      <w:r>
        <w:t xml:space="preserve"> out of 33 London Boroughs. Of those delays, the number attributable</w:t>
      </w:r>
      <w:r w:rsidR="002708FC">
        <w:t xml:space="preserve"> to Social Care has fallen from </w:t>
      </w:r>
      <w:r>
        <w:t>2</w:t>
      </w:r>
      <w:r w:rsidR="000F4ACC">
        <w:t>.</w:t>
      </w:r>
      <w:r w:rsidR="00576B43">
        <w:t>1</w:t>
      </w:r>
      <w:r>
        <w:t xml:space="preserve"> to 1.</w:t>
      </w:r>
      <w:r w:rsidR="000F4ACC">
        <w:t>7</w:t>
      </w:r>
      <w:r>
        <w:t xml:space="preserve"> per 100,000.</w:t>
      </w:r>
    </w:p>
    <w:p w:rsidR="009A23DA" w:rsidRDefault="009A23DA"/>
    <w:p w:rsidR="009A23DA" w:rsidRDefault="004F3D0A">
      <w:r>
        <w:t>The projects have recently been removed from the Resilient Harrow programme a</w:t>
      </w:r>
      <w:r w:rsidR="00604255">
        <w:t>nd</w:t>
      </w:r>
      <w:r>
        <w:t xml:space="preserve"> move</w:t>
      </w:r>
      <w:r w:rsidR="00604255">
        <w:t>d</w:t>
      </w:r>
      <w:r>
        <w:t xml:space="preserve"> to ‘Business As Usual’. However, progress will continue to be closely monitored.</w:t>
      </w:r>
    </w:p>
    <w:p w:rsidR="004F3D0A" w:rsidRDefault="004F3D0A"/>
    <w:p w:rsidR="004F3D0A" w:rsidRDefault="004F3D0A">
      <w:r>
        <w:t xml:space="preserve">Other </w:t>
      </w:r>
      <w:r w:rsidR="00604255">
        <w:t xml:space="preserve">on-going </w:t>
      </w:r>
      <w:r>
        <w:t xml:space="preserve">projects will contribute to future effective delivery of hospital discharge and </w:t>
      </w:r>
      <w:proofErr w:type="spellStart"/>
      <w:r>
        <w:t>reablement</w:t>
      </w:r>
      <w:proofErr w:type="spellEnd"/>
      <w:r>
        <w:t xml:space="preserve"> support</w:t>
      </w:r>
      <w:r w:rsidR="00604255">
        <w:t xml:space="preserve">. These </w:t>
      </w:r>
      <w:r>
        <w:t>includ</w:t>
      </w:r>
      <w:r w:rsidR="00604255">
        <w:t>e</w:t>
      </w:r>
      <w:r>
        <w:t xml:space="preserve"> elements of the Commissioning work programme which will explore options for the future provision of specialist </w:t>
      </w:r>
      <w:proofErr w:type="spellStart"/>
      <w:r>
        <w:t>reablement</w:t>
      </w:r>
      <w:proofErr w:type="spellEnd"/>
      <w:r>
        <w:t xml:space="preserve"> support and availability of appropriate short-term step down bedded care. </w:t>
      </w:r>
    </w:p>
    <w:p w:rsidR="009A23DA" w:rsidRDefault="009A23DA"/>
    <w:p w:rsidR="00A8150C" w:rsidRDefault="00A8150C" w:rsidP="00A8150C">
      <w:pPr>
        <w:rPr>
          <w:rFonts w:cs="Arial"/>
        </w:rPr>
      </w:pPr>
    </w:p>
    <w:p w:rsidR="00A8150C" w:rsidRPr="00B101EE" w:rsidRDefault="00A8150C" w:rsidP="00A8150C">
      <w:pPr>
        <w:rPr>
          <w:b/>
        </w:rPr>
      </w:pPr>
      <w:r w:rsidRPr="00B101EE">
        <w:rPr>
          <w:b/>
        </w:rPr>
        <w:t>Other initiatives</w:t>
      </w:r>
    </w:p>
    <w:p w:rsidR="00A8150C" w:rsidRDefault="00A8150C" w:rsidP="00A8150C">
      <w:pPr>
        <w:rPr>
          <w:b/>
          <w:i/>
        </w:rPr>
      </w:pPr>
    </w:p>
    <w:p w:rsidR="00A8150C" w:rsidRDefault="00B101EE" w:rsidP="00A8150C">
      <w:pPr>
        <w:rPr>
          <w:b/>
          <w:i/>
        </w:rPr>
      </w:pPr>
      <w:r>
        <w:rPr>
          <w:b/>
          <w:i/>
        </w:rPr>
        <w:t xml:space="preserve">(a) </w:t>
      </w:r>
      <w:r w:rsidR="00A8150C">
        <w:rPr>
          <w:b/>
          <w:i/>
        </w:rPr>
        <w:t>Joint Working</w:t>
      </w:r>
    </w:p>
    <w:p w:rsidR="00A8150C" w:rsidRDefault="00A8150C" w:rsidP="00A8150C">
      <w:pPr>
        <w:rPr>
          <w:b/>
          <w:i/>
        </w:rPr>
      </w:pPr>
    </w:p>
    <w:p w:rsidR="00A8150C" w:rsidRDefault="00A8150C" w:rsidP="00A8150C">
      <w:r>
        <w:t>Adult Social Care and health services are becoming more closely aligned and integrated in their delivery of services.</w:t>
      </w:r>
    </w:p>
    <w:p w:rsidR="00A8150C" w:rsidRDefault="00A8150C" w:rsidP="00A8150C"/>
    <w:p w:rsidR="00A8150C" w:rsidRDefault="00A8150C" w:rsidP="00A8150C">
      <w:r>
        <w:t>There are already a number of joint initiatives approaches in place. These include:</w:t>
      </w:r>
    </w:p>
    <w:p w:rsidR="00A8150C" w:rsidRPr="00C95245" w:rsidRDefault="00A8150C" w:rsidP="00A8150C">
      <w:pPr>
        <w:rPr>
          <w:i/>
        </w:rPr>
      </w:pPr>
      <w:r w:rsidRPr="00C95245">
        <w:rPr>
          <w:i/>
        </w:rPr>
        <w:t xml:space="preserve">  </w:t>
      </w:r>
    </w:p>
    <w:p w:rsidR="00A8150C" w:rsidRDefault="00A8150C" w:rsidP="00A8150C"/>
    <w:p w:rsidR="00A8150C" w:rsidRDefault="00A8150C" w:rsidP="00A8150C">
      <w:pPr>
        <w:rPr>
          <w:rFonts w:cs="Arial"/>
        </w:rPr>
      </w:pPr>
      <w:proofErr w:type="spellStart"/>
      <w:proofErr w:type="gramStart"/>
      <w:r>
        <w:rPr>
          <w:b/>
        </w:rPr>
        <w:t>i</w:t>
      </w:r>
      <w:proofErr w:type="spellEnd"/>
      <w:proofErr w:type="gramEnd"/>
      <w:r>
        <w:rPr>
          <w:b/>
        </w:rPr>
        <w:t xml:space="preserve"> </w:t>
      </w:r>
      <w:r w:rsidRPr="00D97566">
        <w:rPr>
          <w:b/>
        </w:rPr>
        <w:t>Joint Dementia Strategy</w:t>
      </w:r>
      <w:r>
        <w:rPr>
          <w:b/>
        </w:rPr>
        <w:t xml:space="preserve"> - </w:t>
      </w:r>
      <w:r>
        <w:rPr>
          <w:rFonts w:cs="Arial"/>
        </w:rPr>
        <w:t>During  the next twelve years the number of older people with dementia in Harrow is expected to increase from 2500 to just under 4000.</w:t>
      </w:r>
    </w:p>
    <w:p w:rsidR="00A8150C" w:rsidRDefault="00A8150C" w:rsidP="00A8150C">
      <w:pPr>
        <w:rPr>
          <w:rFonts w:cs="Arial"/>
        </w:rPr>
      </w:pPr>
    </w:p>
    <w:p w:rsidR="00A8150C" w:rsidRDefault="00A8150C" w:rsidP="00A8150C">
      <w:pPr>
        <w:rPr>
          <w:rFonts w:cs="Arial"/>
        </w:rPr>
      </w:pPr>
      <w:r>
        <w:rPr>
          <w:rFonts w:cs="Arial"/>
        </w:rPr>
        <w:t>To respond to and manage this anticipated increase in demand, a joint dementia strategy has been developed with health partners in Harrow CCG. Its focus is on helping people with dementia needs feel in control of their lives and feel valued. It also aims to help carers feel that they are supported and enabled to continue their caring role.</w:t>
      </w:r>
    </w:p>
    <w:p w:rsidR="00A8150C" w:rsidRDefault="00A8150C" w:rsidP="00A8150C">
      <w:pPr>
        <w:rPr>
          <w:rFonts w:cs="Arial"/>
        </w:rPr>
      </w:pPr>
    </w:p>
    <w:p w:rsidR="00A8150C" w:rsidRDefault="00A8150C" w:rsidP="00A8150C">
      <w:r>
        <w:rPr>
          <w:rFonts w:cs="Arial"/>
        </w:rPr>
        <w:t xml:space="preserve">The strategy which covers the period 2018-2021 will be reviewed in </w:t>
      </w:r>
      <w:r w:rsidR="00694614">
        <w:rPr>
          <w:rFonts w:cs="Arial"/>
        </w:rPr>
        <w:t>2020</w:t>
      </w:r>
      <w:r>
        <w:rPr>
          <w:rFonts w:cs="Arial"/>
        </w:rPr>
        <w:t xml:space="preserve">. </w:t>
      </w:r>
    </w:p>
    <w:p w:rsidR="00A8150C" w:rsidRDefault="00A8150C" w:rsidP="00A8150C"/>
    <w:p w:rsidR="00A8150C" w:rsidRPr="00387830" w:rsidRDefault="00A8150C" w:rsidP="00A8150C">
      <w:pPr>
        <w:rPr>
          <w:b/>
        </w:rPr>
      </w:pPr>
      <w:proofErr w:type="gramStart"/>
      <w:r>
        <w:rPr>
          <w:b/>
        </w:rPr>
        <w:t>ii</w:t>
      </w:r>
      <w:proofErr w:type="gramEnd"/>
      <w:r>
        <w:rPr>
          <w:b/>
        </w:rPr>
        <w:t xml:space="preserve"> </w:t>
      </w:r>
      <w:r w:rsidRPr="00387830">
        <w:rPr>
          <w:b/>
        </w:rPr>
        <w:t>Learning Disability and Autism Strategy</w:t>
      </w:r>
    </w:p>
    <w:p w:rsidR="00A8150C" w:rsidRDefault="00A8150C" w:rsidP="00A8150C"/>
    <w:p w:rsidR="00A8150C" w:rsidRDefault="00A8150C" w:rsidP="00A8150C">
      <w:pPr>
        <w:rPr>
          <w:rFonts w:cs="Arial"/>
        </w:rPr>
      </w:pPr>
      <w:r>
        <w:t xml:space="preserve">A joint </w:t>
      </w:r>
      <w:r w:rsidRPr="004077C9">
        <w:t>Learning Disability and Autism Strategy</w:t>
      </w:r>
      <w:r>
        <w:t xml:space="preserve"> developed in partnership with Harrow CCG has been in place since November 2016. The restructure in 2018 established </w:t>
      </w:r>
      <w:r>
        <w:rPr>
          <w:rFonts w:cs="Arial"/>
        </w:rPr>
        <w:t xml:space="preserve">a new specialist service for children and adults with LD and autism which provides a lifelong approach to care and support delivered through a dedicated multidisciplinary team. </w:t>
      </w:r>
    </w:p>
    <w:p w:rsidR="00A8150C" w:rsidRDefault="00A8150C" w:rsidP="00A8150C">
      <w:pPr>
        <w:rPr>
          <w:rFonts w:cs="Arial"/>
        </w:rPr>
      </w:pPr>
    </w:p>
    <w:p w:rsidR="00A8150C" w:rsidRDefault="00A8150C" w:rsidP="00A8150C">
      <w:pPr>
        <w:rPr>
          <w:rFonts w:cs="Arial"/>
        </w:rPr>
      </w:pPr>
      <w:r>
        <w:rPr>
          <w:rFonts w:cs="Arial"/>
        </w:rPr>
        <w:t>The strategy includes:</w:t>
      </w:r>
    </w:p>
    <w:p w:rsidR="00A8150C" w:rsidRDefault="00A8150C" w:rsidP="00A8150C">
      <w:pPr>
        <w:rPr>
          <w:rFonts w:cs="Arial"/>
        </w:rPr>
      </w:pPr>
    </w:p>
    <w:p w:rsidR="00A8150C" w:rsidRDefault="00A8150C" w:rsidP="00A8150C">
      <w:pPr>
        <w:pStyle w:val="ListParagraph"/>
        <w:numPr>
          <w:ilvl w:val="0"/>
          <w:numId w:val="24"/>
        </w:numPr>
        <w:autoSpaceDE w:val="0"/>
        <w:autoSpaceDN w:val="0"/>
        <w:rPr>
          <w:sz w:val="24"/>
          <w:szCs w:val="24"/>
        </w:rPr>
      </w:pPr>
      <w:r w:rsidRPr="00C14929">
        <w:rPr>
          <w:sz w:val="24"/>
          <w:szCs w:val="24"/>
        </w:rPr>
        <w:t xml:space="preserve">A crisis response pathway developed jointly with the CCG and other agencies and operational from October 2017. </w:t>
      </w:r>
    </w:p>
    <w:p w:rsidR="00A8150C" w:rsidRPr="00C14929" w:rsidRDefault="00A8150C" w:rsidP="00A8150C">
      <w:pPr>
        <w:pStyle w:val="ListParagraph"/>
        <w:numPr>
          <w:ilvl w:val="0"/>
          <w:numId w:val="24"/>
        </w:numPr>
        <w:autoSpaceDE w:val="0"/>
        <w:autoSpaceDN w:val="0"/>
        <w:rPr>
          <w:sz w:val="24"/>
          <w:szCs w:val="24"/>
        </w:rPr>
      </w:pPr>
      <w:r w:rsidRPr="00C14929">
        <w:rPr>
          <w:sz w:val="24"/>
          <w:szCs w:val="24"/>
        </w:rPr>
        <w:t xml:space="preserve">A Dynamic Risk register </w:t>
      </w:r>
      <w:r>
        <w:rPr>
          <w:sz w:val="24"/>
          <w:szCs w:val="24"/>
        </w:rPr>
        <w:t xml:space="preserve">which has ensured </w:t>
      </w:r>
      <w:r w:rsidRPr="00C14929">
        <w:rPr>
          <w:sz w:val="24"/>
          <w:szCs w:val="24"/>
        </w:rPr>
        <w:t xml:space="preserve"> no cases of unnecessary long stay admission to hospital or emergency placement to residential care since its implementation</w:t>
      </w:r>
      <w:r>
        <w:rPr>
          <w:sz w:val="24"/>
          <w:szCs w:val="24"/>
        </w:rPr>
        <w:t xml:space="preserve"> for people with Learning Disabilities</w:t>
      </w:r>
      <w:r w:rsidRPr="00C14929">
        <w:rPr>
          <w:sz w:val="24"/>
          <w:szCs w:val="24"/>
        </w:rPr>
        <w:t>.</w:t>
      </w:r>
    </w:p>
    <w:p w:rsidR="00A8150C" w:rsidRPr="0091632D" w:rsidRDefault="00A8150C" w:rsidP="00A8150C">
      <w:pPr>
        <w:pStyle w:val="ListParagraph"/>
        <w:numPr>
          <w:ilvl w:val="0"/>
          <w:numId w:val="24"/>
        </w:numPr>
        <w:autoSpaceDE w:val="0"/>
        <w:autoSpaceDN w:val="0"/>
        <w:rPr>
          <w:sz w:val="24"/>
          <w:szCs w:val="24"/>
        </w:rPr>
      </w:pPr>
      <w:r>
        <w:rPr>
          <w:sz w:val="24"/>
          <w:szCs w:val="24"/>
        </w:rPr>
        <w:t>A</w:t>
      </w:r>
      <w:r w:rsidRPr="0091632D">
        <w:rPr>
          <w:sz w:val="24"/>
          <w:szCs w:val="24"/>
        </w:rPr>
        <w:t xml:space="preserve"> multi-agency </w:t>
      </w:r>
      <w:r>
        <w:rPr>
          <w:sz w:val="24"/>
          <w:szCs w:val="24"/>
        </w:rPr>
        <w:t xml:space="preserve">risk </w:t>
      </w:r>
      <w:r w:rsidRPr="0091632D">
        <w:rPr>
          <w:sz w:val="24"/>
          <w:szCs w:val="24"/>
        </w:rPr>
        <w:t>panel for the most vulnerable Autistic Children and Young People that meets on a monthly basis to review each autistic child and adult on the register.</w:t>
      </w:r>
    </w:p>
    <w:p w:rsidR="00A8150C" w:rsidRPr="0091632D" w:rsidRDefault="00A8150C" w:rsidP="00A8150C">
      <w:pPr>
        <w:pStyle w:val="ListParagraph"/>
        <w:numPr>
          <w:ilvl w:val="0"/>
          <w:numId w:val="24"/>
        </w:numPr>
        <w:autoSpaceDE w:val="0"/>
        <w:autoSpaceDN w:val="0"/>
        <w:rPr>
          <w:sz w:val="24"/>
          <w:szCs w:val="24"/>
        </w:rPr>
      </w:pPr>
      <w:r w:rsidRPr="0091632D">
        <w:rPr>
          <w:sz w:val="24"/>
          <w:szCs w:val="24"/>
        </w:rPr>
        <w:t xml:space="preserve">Harrow is Home Project as described above </w:t>
      </w:r>
    </w:p>
    <w:p w:rsidR="00A8150C" w:rsidRPr="0091632D" w:rsidRDefault="00A8150C" w:rsidP="00A8150C">
      <w:pPr>
        <w:pStyle w:val="ListParagraph"/>
        <w:numPr>
          <w:ilvl w:val="0"/>
          <w:numId w:val="24"/>
        </w:numPr>
        <w:autoSpaceDE w:val="0"/>
        <w:autoSpaceDN w:val="0"/>
        <w:rPr>
          <w:sz w:val="24"/>
          <w:szCs w:val="24"/>
        </w:rPr>
      </w:pPr>
      <w:r>
        <w:rPr>
          <w:sz w:val="24"/>
          <w:szCs w:val="24"/>
        </w:rPr>
        <w:t>S</w:t>
      </w:r>
      <w:r w:rsidRPr="0091632D">
        <w:rPr>
          <w:sz w:val="24"/>
          <w:szCs w:val="24"/>
        </w:rPr>
        <w:t>upported internships at Northwick Park Hospital</w:t>
      </w:r>
      <w:r>
        <w:rPr>
          <w:sz w:val="24"/>
          <w:szCs w:val="24"/>
        </w:rPr>
        <w:t xml:space="preserve"> </w:t>
      </w:r>
      <w:r w:rsidRPr="0091632D">
        <w:rPr>
          <w:sz w:val="24"/>
          <w:szCs w:val="24"/>
        </w:rPr>
        <w:t>to prepare young people with learning disabilities and those with Autistic spectrum conditions for employment. Where possible, young people move into paid employment at the end of the programme.</w:t>
      </w:r>
    </w:p>
    <w:p w:rsidR="00A8150C" w:rsidRPr="0091632D" w:rsidRDefault="00A8150C" w:rsidP="00A8150C">
      <w:pPr>
        <w:pStyle w:val="ListParagraph"/>
        <w:numPr>
          <w:ilvl w:val="0"/>
          <w:numId w:val="24"/>
        </w:numPr>
        <w:autoSpaceDE w:val="0"/>
        <w:autoSpaceDN w:val="0"/>
        <w:rPr>
          <w:sz w:val="24"/>
          <w:szCs w:val="24"/>
        </w:rPr>
      </w:pPr>
      <w:r w:rsidRPr="0091632D">
        <w:rPr>
          <w:sz w:val="24"/>
          <w:szCs w:val="24"/>
        </w:rPr>
        <w:t>L</w:t>
      </w:r>
      <w:r>
        <w:rPr>
          <w:sz w:val="24"/>
          <w:szCs w:val="24"/>
        </w:rPr>
        <w:t xml:space="preserve">earning </w:t>
      </w:r>
      <w:r w:rsidRPr="0091632D">
        <w:rPr>
          <w:sz w:val="24"/>
          <w:szCs w:val="24"/>
        </w:rPr>
        <w:t>D</w:t>
      </w:r>
      <w:r>
        <w:rPr>
          <w:sz w:val="24"/>
          <w:szCs w:val="24"/>
        </w:rPr>
        <w:t>isability and Autism</w:t>
      </w:r>
      <w:r w:rsidRPr="0091632D">
        <w:rPr>
          <w:sz w:val="24"/>
          <w:szCs w:val="24"/>
        </w:rPr>
        <w:t xml:space="preserve"> Health and Social Care Focus group</w:t>
      </w:r>
      <w:r>
        <w:rPr>
          <w:sz w:val="24"/>
          <w:szCs w:val="24"/>
        </w:rPr>
        <w:t>s</w:t>
      </w:r>
      <w:r w:rsidRPr="0091632D">
        <w:rPr>
          <w:sz w:val="24"/>
          <w:szCs w:val="24"/>
        </w:rPr>
        <w:t xml:space="preserve"> with members of the LD community, CCG, CNWL and Voluntary and Community agencies to implement the joint LD strategy. An Autism Health and Social Care Focus Group </w:t>
      </w:r>
      <w:proofErr w:type="gramStart"/>
      <w:r w:rsidRPr="0091632D">
        <w:rPr>
          <w:sz w:val="24"/>
          <w:szCs w:val="24"/>
        </w:rPr>
        <w:t>was</w:t>
      </w:r>
      <w:proofErr w:type="gramEnd"/>
      <w:r w:rsidRPr="0091632D">
        <w:rPr>
          <w:sz w:val="24"/>
          <w:szCs w:val="24"/>
        </w:rPr>
        <w:t xml:space="preserve"> formed earlier this year. </w:t>
      </w:r>
    </w:p>
    <w:p w:rsidR="00A8150C" w:rsidRDefault="00A8150C" w:rsidP="00A8150C">
      <w:pPr>
        <w:pStyle w:val="Default"/>
      </w:pPr>
    </w:p>
    <w:p w:rsidR="00A8150C" w:rsidRDefault="00A8150C" w:rsidP="00A8150C">
      <w:pPr>
        <w:pStyle w:val="Default"/>
      </w:pPr>
      <w:r>
        <w:t>The strategy is due to be refreshed in 2020</w:t>
      </w:r>
    </w:p>
    <w:p w:rsidR="00A8150C" w:rsidRDefault="00A8150C" w:rsidP="00A8150C">
      <w:pPr>
        <w:pStyle w:val="Default"/>
      </w:pPr>
    </w:p>
    <w:p w:rsidR="00A8150C" w:rsidRPr="007268E5" w:rsidRDefault="00A8150C" w:rsidP="00A8150C">
      <w:pPr>
        <w:pStyle w:val="Default"/>
      </w:pPr>
      <w:r w:rsidRPr="007268E5">
        <w:t>The Resilient Harrow programme reflects and supports the continued alignment with Health partners and includes a number of projects specifically focused on establishing integrated or jointly provided services. These include:</w:t>
      </w:r>
    </w:p>
    <w:p w:rsidR="00A8150C" w:rsidRDefault="00A8150C" w:rsidP="00A8150C">
      <w:pPr>
        <w:pStyle w:val="Default"/>
        <w:numPr>
          <w:ilvl w:val="0"/>
          <w:numId w:val="26"/>
        </w:numPr>
      </w:pPr>
      <w:r>
        <w:t>Learning Disabilities Integration</w:t>
      </w:r>
    </w:p>
    <w:p w:rsidR="00A8150C" w:rsidRDefault="00A8150C" w:rsidP="00A8150C">
      <w:pPr>
        <w:pStyle w:val="Default"/>
        <w:numPr>
          <w:ilvl w:val="0"/>
          <w:numId w:val="26"/>
        </w:numPr>
      </w:pPr>
      <w:r>
        <w:t xml:space="preserve">Empowering People with Mental </w:t>
      </w:r>
      <w:r w:rsidR="007C7B05">
        <w:t>H</w:t>
      </w:r>
      <w:r>
        <w:t>ealth needs</w:t>
      </w:r>
    </w:p>
    <w:p w:rsidR="00A8150C" w:rsidRDefault="00A8150C" w:rsidP="00A8150C">
      <w:pPr>
        <w:pStyle w:val="Default"/>
      </w:pPr>
    </w:p>
    <w:p w:rsidR="00A8150C" w:rsidRPr="00B101EE" w:rsidRDefault="00B101EE" w:rsidP="00A8150C">
      <w:pPr>
        <w:pStyle w:val="Default"/>
        <w:rPr>
          <w:b/>
          <w:i/>
        </w:rPr>
      </w:pPr>
      <w:r>
        <w:rPr>
          <w:b/>
          <w:i/>
        </w:rPr>
        <w:t>(</w:t>
      </w:r>
      <w:r w:rsidRPr="00B101EE">
        <w:rPr>
          <w:b/>
          <w:i/>
        </w:rPr>
        <w:t>b</w:t>
      </w:r>
      <w:r>
        <w:rPr>
          <w:b/>
          <w:i/>
        </w:rPr>
        <w:t>)</w:t>
      </w:r>
      <w:r w:rsidRPr="00B101EE">
        <w:rPr>
          <w:b/>
          <w:i/>
        </w:rPr>
        <w:t xml:space="preserve"> </w:t>
      </w:r>
      <w:r w:rsidR="00A8150C" w:rsidRPr="00B101EE">
        <w:rPr>
          <w:b/>
          <w:i/>
        </w:rPr>
        <w:t>Cross Council and Partnership Working:</w:t>
      </w:r>
    </w:p>
    <w:p w:rsidR="00A8150C" w:rsidRDefault="00A8150C" w:rsidP="00A8150C">
      <w:pPr>
        <w:pStyle w:val="Default"/>
      </w:pPr>
    </w:p>
    <w:p w:rsidR="00A8150C" w:rsidRDefault="00A8150C" w:rsidP="00A8150C">
      <w:pPr>
        <w:pStyle w:val="Default"/>
      </w:pPr>
      <w:r>
        <w:t xml:space="preserve">Responding effectively to the needs of citizens often requires responses from a number of services both from other parts of the Council or from other statutory or voluntary sector partners. </w:t>
      </w:r>
    </w:p>
    <w:p w:rsidR="00A8150C" w:rsidRDefault="00A8150C" w:rsidP="00A8150C">
      <w:pPr>
        <w:pStyle w:val="Default"/>
      </w:pPr>
    </w:p>
    <w:p w:rsidR="00A8150C" w:rsidRDefault="00A8150C" w:rsidP="00A8150C">
      <w:pPr>
        <w:pStyle w:val="Default"/>
      </w:pPr>
      <w:r>
        <w:t xml:space="preserve">A number of the projects in the Resilient Harrow programme can only be successfully delivered through the engagement of other elements of the </w:t>
      </w:r>
      <w:r>
        <w:lastRenderedPageBreak/>
        <w:t>Council, and the structures in place facilitate their involvement. Such projects include:</w:t>
      </w:r>
    </w:p>
    <w:p w:rsidR="00A8150C" w:rsidRDefault="00A8150C" w:rsidP="00A8150C">
      <w:pPr>
        <w:pStyle w:val="Default"/>
        <w:numPr>
          <w:ilvl w:val="0"/>
          <w:numId w:val="27"/>
        </w:numPr>
      </w:pPr>
      <w:r>
        <w:t>Improving access to on-line information – the recent Council website redesign</w:t>
      </w:r>
    </w:p>
    <w:p w:rsidR="00A8150C" w:rsidRDefault="00A8150C" w:rsidP="00A8150C">
      <w:pPr>
        <w:pStyle w:val="Default"/>
        <w:numPr>
          <w:ilvl w:val="0"/>
          <w:numId w:val="27"/>
        </w:numPr>
      </w:pPr>
      <w:r>
        <w:t xml:space="preserve">Assistive technology – linked to wider Council Information </w:t>
      </w:r>
      <w:r w:rsidR="007C7B05">
        <w:t>T</w:t>
      </w:r>
      <w:r>
        <w:t>echnology developments</w:t>
      </w:r>
    </w:p>
    <w:p w:rsidR="00A8150C" w:rsidRDefault="00A8150C" w:rsidP="00A8150C">
      <w:pPr>
        <w:pStyle w:val="Default"/>
        <w:numPr>
          <w:ilvl w:val="0"/>
          <w:numId w:val="27"/>
        </w:numPr>
      </w:pPr>
      <w:r>
        <w:t>Three conversations – the first innovation site included Access Harrow staff</w:t>
      </w:r>
    </w:p>
    <w:p w:rsidR="00A8150C" w:rsidRDefault="00A8150C" w:rsidP="00A8150C">
      <w:pPr>
        <w:pStyle w:val="Default"/>
        <w:numPr>
          <w:ilvl w:val="0"/>
          <w:numId w:val="27"/>
        </w:numPr>
      </w:pPr>
      <w:r>
        <w:t>Learning Disabilities Integration – involving significant building and facilities management input</w:t>
      </w:r>
    </w:p>
    <w:p w:rsidR="00A8150C" w:rsidRDefault="00A8150C" w:rsidP="00A8150C">
      <w:pPr>
        <w:pStyle w:val="Default"/>
        <w:numPr>
          <w:ilvl w:val="0"/>
          <w:numId w:val="27"/>
        </w:numPr>
      </w:pPr>
      <w:r>
        <w:t>Commissioning of Extra Care and Housing with Support – requires close working with housing colleagues</w:t>
      </w:r>
    </w:p>
    <w:p w:rsidR="00A8150C" w:rsidRDefault="00A8150C" w:rsidP="00A8150C">
      <w:pPr>
        <w:pStyle w:val="Default"/>
      </w:pPr>
    </w:p>
    <w:p w:rsidR="00A8150C" w:rsidRPr="00B101EE" w:rsidRDefault="00B101EE" w:rsidP="00A8150C">
      <w:pPr>
        <w:pStyle w:val="Default"/>
        <w:rPr>
          <w:b/>
          <w:i/>
        </w:rPr>
      </w:pPr>
      <w:r>
        <w:rPr>
          <w:b/>
          <w:i/>
        </w:rPr>
        <w:t>(</w:t>
      </w:r>
      <w:r w:rsidRPr="00B101EE">
        <w:rPr>
          <w:b/>
          <w:i/>
        </w:rPr>
        <w:t>c</w:t>
      </w:r>
      <w:r>
        <w:rPr>
          <w:b/>
          <w:i/>
        </w:rPr>
        <w:t>)</w:t>
      </w:r>
      <w:r w:rsidRPr="00B101EE">
        <w:rPr>
          <w:b/>
          <w:i/>
        </w:rPr>
        <w:t xml:space="preserve"> </w:t>
      </w:r>
      <w:r w:rsidR="00A8150C" w:rsidRPr="00B101EE">
        <w:rPr>
          <w:b/>
          <w:i/>
        </w:rPr>
        <w:t>Commissioning</w:t>
      </w:r>
    </w:p>
    <w:p w:rsidR="00A8150C" w:rsidRDefault="00A8150C" w:rsidP="00A8150C">
      <w:pPr>
        <w:pStyle w:val="Default"/>
      </w:pPr>
    </w:p>
    <w:p w:rsidR="00A8150C" w:rsidRDefault="00A8150C" w:rsidP="00A8150C">
      <w:pPr>
        <w:pStyle w:val="Default"/>
      </w:pPr>
      <w:r>
        <w:t>Ensuring the availability of appropriate, good quality care and support for those who need it is a key aim of the programme. It includes a range of projects related to Commissioning and Market Management to address these issues.</w:t>
      </w:r>
    </w:p>
    <w:p w:rsidR="00A8150C" w:rsidRDefault="00A8150C" w:rsidP="00A8150C">
      <w:pPr>
        <w:pStyle w:val="Default"/>
      </w:pPr>
    </w:p>
    <w:p w:rsidR="00A8150C" w:rsidRDefault="00A8150C" w:rsidP="00A8150C">
      <w:pPr>
        <w:pStyle w:val="Default"/>
      </w:pPr>
      <w:r>
        <w:t xml:space="preserve">The Adults resources restructure highlighted the need to re-establish commissioning and contract management </w:t>
      </w:r>
      <w:r w:rsidR="002A2EC3">
        <w:t xml:space="preserve">functions within the Department. Interim arrangements have provided immediate capacity to take the work </w:t>
      </w:r>
      <w:r w:rsidR="007D0A6B">
        <w:t>forward with two additional p</w:t>
      </w:r>
      <w:r w:rsidR="002A2EC3">
        <w:t>e</w:t>
      </w:r>
      <w:r w:rsidR="007D0A6B">
        <w:t>r</w:t>
      </w:r>
      <w:r w:rsidR="002A2EC3">
        <w:t>manent comm</w:t>
      </w:r>
      <w:r w:rsidR="007D0A6B">
        <w:t>issioners to be recruited in ea</w:t>
      </w:r>
      <w:r w:rsidR="002A2EC3">
        <w:t xml:space="preserve">rly 2020. </w:t>
      </w:r>
    </w:p>
    <w:p w:rsidR="00A8150C" w:rsidRDefault="00A8150C" w:rsidP="00A8150C">
      <w:pPr>
        <w:pStyle w:val="Default"/>
      </w:pPr>
    </w:p>
    <w:p w:rsidR="00A8150C" w:rsidRDefault="00A8150C" w:rsidP="00A8150C">
      <w:pPr>
        <w:pStyle w:val="Default"/>
      </w:pPr>
      <w:r>
        <w:t xml:space="preserve">Market Position Statements and related commissioning plans are being developed and will be reported to Cabinet in </w:t>
      </w:r>
      <w:r w:rsidR="00694614">
        <w:t>February 2020</w:t>
      </w:r>
      <w:r>
        <w:t xml:space="preserve"> setting out a programme of work for future years.</w:t>
      </w:r>
    </w:p>
    <w:p w:rsidR="00A8150C" w:rsidRDefault="00A8150C" w:rsidP="00A8150C">
      <w:pPr>
        <w:pStyle w:val="Default"/>
      </w:pPr>
    </w:p>
    <w:p w:rsidR="00A8150C" w:rsidRDefault="00A8150C" w:rsidP="00A8150C">
      <w:pPr>
        <w:pStyle w:val="Default"/>
      </w:pPr>
      <w:r>
        <w:t>These plans will include reshaping provision and spending to focus on promotion of independence through services such as Extra Care, Supported Housing and enabling homecare.</w:t>
      </w:r>
    </w:p>
    <w:p w:rsidR="00A8150C" w:rsidRDefault="00A8150C" w:rsidP="00A8150C">
      <w:pPr>
        <w:pStyle w:val="Default"/>
      </w:pPr>
    </w:p>
    <w:p w:rsidR="00A8150C" w:rsidRDefault="00A8150C" w:rsidP="00A8150C">
      <w:pPr>
        <w:pStyle w:val="Default"/>
      </w:pPr>
      <w:r>
        <w:t xml:space="preserve">Increased alignment with Health partners will also facilitate exploring opportunities for joint and collaborative commissioning in the future. </w:t>
      </w:r>
    </w:p>
    <w:tbl>
      <w:tblPr>
        <w:tblW w:w="19740" w:type="dxa"/>
        <w:tblCellMar>
          <w:left w:w="0" w:type="dxa"/>
          <w:right w:w="0" w:type="dxa"/>
        </w:tblCellMar>
        <w:tblLook w:val="04A0" w:firstRow="1" w:lastRow="0" w:firstColumn="1" w:lastColumn="0" w:noHBand="0" w:noVBand="1"/>
      </w:tblPr>
      <w:tblGrid>
        <w:gridCol w:w="19740"/>
      </w:tblGrid>
      <w:tr w:rsidR="004077C9" w:rsidTr="0091632D">
        <w:trPr>
          <w:trHeight w:val="304"/>
        </w:trPr>
        <w:tc>
          <w:tcPr>
            <w:tcW w:w="19740" w:type="dxa"/>
            <w:tcMar>
              <w:top w:w="0" w:type="dxa"/>
              <w:left w:w="108" w:type="dxa"/>
              <w:bottom w:w="0" w:type="dxa"/>
              <w:right w:w="108" w:type="dxa"/>
            </w:tcMar>
          </w:tcPr>
          <w:p w:rsidR="004077C9" w:rsidRDefault="004077C9" w:rsidP="00A8150C">
            <w:pPr>
              <w:pStyle w:val="Default"/>
              <w:rPr>
                <w:sz w:val="23"/>
                <w:szCs w:val="23"/>
              </w:rPr>
            </w:pPr>
          </w:p>
        </w:tc>
      </w:tr>
    </w:tbl>
    <w:p w:rsidR="00512672" w:rsidRPr="000E0147" w:rsidRDefault="00512672"/>
    <w:p w:rsidR="000E0147" w:rsidRDefault="00B96B48">
      <w:pPr>
        <w:rPr>
          <w:b/>
        </w:rPr>
      </w:pPr>
      <w:r w:rsidRPr="00B96B48">
        <w:rPr>
          <w:b/>
        </w:rPr>
        <w:t>Resilient Harrow Programme Summary</w:t>
      </w:r>
      <w:r>
        <w:rPr>
          <w:b/>
        </w:rPr>
        <w:t xml:space="preserve"> </w:t>
      </w:r>
    </w:p>
    <w:p w:rsidR="00B96B48" w:rsidRDefault="00B96B48">
      <w:pPr>
        <w:rPr>
          <w:b/>
        </w:rPr>
      </w:pPr>
    </w:p>
    <w:p w:rsidR="00B96B48" w:rsidRDefault="00B96B48">
      <w:r>
        <w:t xml:space="preserve">As outlined above, the Resilient Harrow programme includes a number of projects which taken together seek to better manage demand, ensure the provision of appropriate high quality services and address budgetary pressures at a time of increasing </w:t>
      </w:r>
      <w:r w:rsidR="0080592D">
        <w:t>demand</w:t>
      </w:r>
      <w:r>
        <w:t xml:space="preserve">.  </w:t>
      </w:r>
      <w:r w:rsidR="00D97566">
        <w:t>The projects run alongside other initiatives designed to improve Adult Social Care provision, often in partnership with colleagues in the NHS and other services.</w:t>
      </w:r>
    </w:p>
    <w:p w:rsidR="00B96B48" w:rsidRDefault="00B96B48"/>
    <w:p w:rsidR="003D0CF8" w:rsidRDefault="00097B7B" w:rsidP="00097B7B">
      <w:pPr>
        <w:rPr>
          <w:rFonts w:cs="Arial"/>
          <w:szCs w:val="24"/>
        </w:rPr>
      </w:pPr>
      <w:r w:rsidRPr="00674783">
        <w:rPr>
          <w:rFonts w:cs="Arial"/>
          <w:szCs w:val="24"/>
        </w:rPr>
        <w:t xml:space="preserve">The Resilient Harrow Programme was </w:t>
      </w:r>
      <w:r w:rsidR="00674783" w:rsidRPr="00674783">
        <w:rPr>
          <w:rFonts w:cs="Arial"/>
          <w:szCs w:val="24"/>
        </w:rPr>
        <w:t xml:space="preserve">formally </w:t>
      </w:r>
      <w:r w:rsidRPr="00674783">
        <w:rPr>
          <w:rFonts w:cs="Arial"/>
          <w:szCs w:val="24"/>
        </w:rPr>
        <w:t>established in early 2019 and has evolved since then.</w:t>
      </w:r>
    </w:p>
    <w:p w:rsidR="00097B7B" w:rsidRPr="00674783" w:rsidRDefault="00097B7B" w:rsidP="00097B7B">
      <w:pPr>
        <w:rPr>
          <w:rFonts w:cs="Arial"/>
          <w:szCs w:val="24"/>
        </w:rPr>
      </w:pPr>
      <w:r w:rsidRPr="00674783">
        <w:rPr>
          <w:rFonts w:cs="Arial"/>
          <w:szCs w:val="24"/>
        </w:rPr>
        <w:t xml:space="preserve"> </w:t>
      </w:r>
    </w:p>
    <w:p w:rsidR="00097B7B" w:rsidRPr="00674783" w:rsidRDefault="00097B7B" w:rsidP="00097B7B">
      <w:pPr>
        <w:rPr>
          <w:rFonts w:cs="Arial"/>
          <w:szCs w:val="24"/>
        </w:rPr>
      </w:pPr>
      <w:r w:rsidRPr="00674783">
        <w:rPr>
          <w:rFonts w:cs="Arial"/>
          <w:szCs w:val="24"/>
        </w:rPr>
        <w:t xml:space="preserve">In a relatively short time robust governance structures have been established at project and programme level with consistent methodologies applied. </w:t>
      </w:r>
    </w:p>
    <w:p w:rsidR="00097B7B" w:rsidRPr="00674783" w:rsidRDefault="00097B7B" w:rsidP="00097B7B">
      <w:pPr>
        <w:pStyle w:val="ListParagraph"/>
        <w:numPr>
          <w:ilvl w:val="0"/>
          <w:numId w:val="30"/>
        </w:numPr>
        <w:spacing w:after="200" w:line="276" w:lineRule="auto"/>
        <w:contextualSpacing/>
        <w:rPr>
          <w:sz w:val="24"/>
          <w:szCs w:val="24"/>
        </w:rPr>
      </w:pPr>
      <w:r w:rsidRPr="00674783">
        <w:rPr>
          <w:sz w:val="24"/>
          <w:szCs w:val="24"/>
        </w:rPr>
        <w:lastRenderedPageBreak/>
        <w:t xml:space="preserve">Use of project management approaches and tools has been effective in terms of establishing consistent approaches and supporting regular monitoring of progress, performance, benefits delivery, risks, spending and savings. </w:t>
      </w:r>
    </w:p>
    <w:p w:rsidR="00097B7B" w:rsidRPr="00674783" w:rsidRDefault="00097B7B" w:rsidP="00097B7B">
      <w:pPr>
        <w:pStyle w:val="ListParagraph"/>
        <w:numPr>
          <w:ilvl w:val="0"/>
          <w:numId w:val="30"/>
        </w:numPr>
        <w:spacing w:after="200" w:line="276" w:lineRule="auto"/>
        <w:contextualSpacing/>
        <w:rPr>
          <w:sz w:val="24"/>
          <w:szCs w:val="24"/>
        </w:rPr>
      </w:pPr>
      <w:r w:rsidRPr="00674783">
        <w:rPr>
          <w:sz w:val="24"/>
          <w:szCs w:val="24"/>
        </w:rPr>
        <w:t xml:space="preserve">The preparation of business </w:t>
      </w:r>
      <w:r w:rsidR="00CA4073">
        <w:rPr>
          <w:sz w:val="24"/>
          <w:szCs w:val="24"/>
        </w:rPr>
        <w:t>cases</w:t>
      </w:r>
      <w:r w:rsidRPr="00674783">
        <w:rPr>
          <w:sz w:val="24"/>
          <w:szCs w:val="24"/>
        </w:rPr>
        <w:t xml:space="preserve"> for each project has ensured clear focus for each project and has been established as core practice in the department</w:t>
      </w:r>
    </w:p>
    <w:p w:rsidR="00097B7B" w:rsidRPr="00674783" w:rsidRDefault="00097B7B" w:rsidP="00097B7B">
      <w:pPr>
        <w:rPr>
          <w:rFonts w:cs="Arial"/>
          <w:szCs w:val="24"/>
        </w:rPr>
      </w:pPr>
      <w:r w:rsidRPr="00674783">
        <w:rPr>
          <w:rFonts w:cs="Arial"/>
          <w:szCs w:val="24"/>
        </w:rPr>
        <w:t xml:space="preserve">Robust and effective systems have been established to measure and report progress and performance against agreed objectives. </w:t>
      </w:r>
    </w:p>
    <w:p w:rsidR="00097B7B" w:rsidRPr="00674783" w:rsidRDefault="00097B7B" w:rsidP="00097B7B">
      <w:pPr>
        <w:pStyle w:val="ListParagraph"/>
        <w:numPr>
          <w:ilvl w:val="0"/>
          <w:numId w:val="31"/>
        </w:numPr>
        <w:spacing w:after="200" w:line="276" w:lineRule="auto"/>
        <w:contextualSpacing/>
        <w:rPr>
          <w:sz w:val="24"/>
          <w:szCs w:val="24"/>
        </w:rPr>
      </w:pPr>
      <w:r w:rsidRPr="00674783">
        <w:rPr>
          <w:sz w:val="24"/>
          <w:szCs w:val="24"/>
        </w:rPr>
        <w:t>The range, quality and depth of data collected and monitored has improved to reflect the wide-ranging scope of the programme</w:t>
      </w:r>
    </w:p>
    <w:p w:rsidR="00097B7B" w:rsidRPr="00674783" w:rsidRDefault="00097B7B" w:rsidP="00097B7B">
      <w:pPr>
        <w:pStyle w:val="ListParagraph"/>
        <w:numPr>
          <w:ilvl w:val="0"/>
          <w:numId w:val="31"/>
        </w:numPr>
        <w:spacing w:after="200" w:line="276" w:lineRule="auto"/>
        <w:contextualSpacing/>
        <w:rPr>
          <w:sz w:val="24"/>
          <w:szCs w:val="24"/>
        </w:rPr>
      </w:pPr>
      <w:r w:rsidRPr="00674783">
        <w:rPr>
          <w:sz w:val="24"/>
          <w:szCs w:val="24"/>
        </w:rPr>
        <w:t>The positive effects of the programme are beginning to be seen, particularly in relation to reducing the number of care packages arising from community based referrals</w:t>
      </w:r>
    </w:p>
    <w:p w:rsidR="00097B7B" w:rsidRPr="00674783" w:rsidRDefault="00097B7B" w:rsidP="00097B7B">
      <w:pPr>
        <w:rPr>
          <w:rFonts w:cs="Arial"/>
          <w:szCs w:val="24"/>
        </w:rPr>
      </w:pPr>
      <w:r w:rsidRPr="00674783">
        <w:rPr>
          <w:rFonts w:cs="Arial"/>
          <w:szCs w:val="24"/>
        </w:rPr>
        <w:t>The programme for 2019/20 was designed to support delivery of already agreed MTFS savings</w:t>
      </w:r>
    </w:p>
    <w:p w:rsidR="00097B7B" w:rsidRPr="00674783" w:rsidRDefault="00097B7B" w:rsidP="00097B7B">
      <w:pPr>
        <w:pStyle w:val="ListParagraph"/>
        <w:numPr>
          <w:ilvl w:val="0"/>
          <w:numId w:val="32"/>
        </w:numPr>
        <w:spacing w:after="200" w:line="276" w:lineRule="auto"/>
        <w:contextualSpacing/>
        <w:rPr>
          <w:sz w:val="24"/>
          <w:szCs w:val="24"/>
        </w:rPr>
      </w:pPr>
      <w:r w:rsidRPr="00674783">
        <w:rPr>
          <w:sz w:val="24"/>
          <w:szCs w:val="24"/>
        </w:rPr>
        <w:t xml:space="preserve">The programme is predicted to deliver savings of </w:t>
      </w:r>
      <w:r w:rsidRPr="002B0524">
        <w:rPr>
          <w:color w:val="auto"/>
          <w:sz w:val="24"/>
          <w:szCs w:val="24"/>
        </w:rPr>
        <w:t>£</w:t>
      </w:r>
      <w:r w:rsidR="002B0524" w:rsidRPr="002B0524">
        <w:rPr>
          <w:color w:val="auto"/>
          <w:sz w:val="24"/>
          <w:szCs w:val="24"/>
        </w:rPr>
        <w:t>1.263m</w:t>
      </w:r>
      <w:r w:rsidRPr="002B0524">
        <w:rPr>
          <w:color w:val="auto"/>
          <w:sz w:val="24"/>
          <w:szCs w:val="24"/>
        </w:rPr>
        <w:t xml:space="preserve"> </w:t>
      </w:r>
      <w:r w:rsidRPr="00674783">
        <w:rPr>
          <w:sz w:val="24"/>
          <w:szCs w:val="24"/>
        </w:rPr>
        <w:t>by March 2020, delivered through the Targeted Reviews</w:t>
      </w:r>
      <w:r w:rsidR="002B0524">
        <w:rPr>
          <w:sz w:val="24"/>
          <w:szCs w:val="24"/>
        </w:rPr>
        <w:t xml:space="preserve"> (£863K</w:t>
      </w:r>
      <w:r w:rsidR="008437B8">
        <w:rPr>
          <w:sz w:val="24"/>
          <w:szCs w:val="24"/>
        </w:rPr>
        <w:t xml:space="preserve"> – a shortfall of £183K on the originally agreed saving</w:t>
      </w:r>
      <w:r w:rsidR="002B0524">
        <w:rPr>
          <w:sz w:val="24"/>
          <w:szCs w:val="24"/>
        </w:rPr>
        <w:t>)</w:t>
      </w:r>
      <w:r w:rsidRPr="00674783">
        <w:rPr>
          <w:sz w:val="24"/>
          <w:szCs w:val="24"/>
        </w:rPr>
        <w:t xml:space="preserve"> and Harrow is Home </w:t>
      </w:r>
      <w:r w:rsidR="002B0524">
        <w:rPr>
          <w:sz w:val="24"/>
          <w:szCs w:val="24"/>
        </w:rPr>
        <w:t xml:space="preserve">(£400K) </w:t>
      </w:r>
      <w:r w:rsidRPr="00674783">
        <w:rPr>
          <w:sz w:val="24"/>
          <w:szCs w:val="24"/>
        </w:rPr>
        <w:t>projects.</w:t>
      </w:r>
    </w:p>
    <w:p w:rsidR="00097B7B" w:rsidRDefault="00097B7B" w:rsidP="00097B7B">
      <w:pPr>
        <w:rPr>
          <w:rFonts w:cs="Arial"/>
          <w:szCs w:val="24"/>
        </w:rPr>
      </w:pPr>
      <w:r w:rsidRPr="00674783">
        <w:rPr>
          <w:rFonts w:cs="Arial"/>
          <w:szCs w:val="24"/>
        </w:rPr>
        <w:t xml:space="preserve">The programme has successfully laid the foundations for further implementation of initiatives to manage demand and to respond to presenting needs, and the embedding of these within core business. </w:t>
      </w:r>
    </w:p>
    <w:p w:rsidR="00D51C40" w:rsidRPr="00674783" w:rsidRDefault="00D51C40" w:rsidP="00097B7B">
      <w:pPr>
        <w:rPr>
          <w:rFonts w:cs="Arial"/>
          <w:szCs w:val="24"/>
        </w:rPr>
      </w:pPr>
    </w:p>
    <w:p w:rsidR="00097B7B" w:rsidRPr="00674783" w:rsidRDefault="00097B7B" w:rsidP="00097B7B">
      <w:pPr>
        <w:rPr>
          <w:rFonts w:cs="Arial"/>
          <w:szCs w:val="24"/>
        </w:rPr>
      </w:pPr>
      <w:r w:rsidRPr="00674783">
        <w:rPr>
          <w:rFonts w:cs="Arial"/>
          <w:szCs w:val="24"/>
        </w:rPr>
        <w:t>Some projects have already been closed and moved to ‘Business as Usual’ as they have implemented and established new structures and processes.</w:t>
      </w:r>
    </w:p>
    <w:p w:rsidR="00D51C40" w:rsidRDefault="00097B7B" w:rsidP="00097B7B">
      <w:pPr>
        <w:rPr>
          <w:rFonts w:cs="Arial"/>
          <w:szCs w:val="24"/>
        </w:rPr>
      </w:pPr>
      <w:r w:rsidRPr="00674783">
        <w:rPr>
          <w:rFonts w:cs="Arial"/>
          <w:szCs w:val="24"/>
        </w:rPr>
        <w:t>A significant element of the programme relates to commissioning of services.</w:t>
      </w:r>
    </w:p>
    <w:p w:rsidR="00D51C40" w:rsidRDefault="00D51C40" w:rsidP="00097B7B">
      <w:pPr>
        <w:rPr>
          <w:rFonts w:cs="Arial"/>
          <w:szCs w:val="24"/>
        </w:rPr>
      </w:pPr>
    </w:p>
    <w:p w:rsidR="00097B7B" w:rsidRPr="00674783" w:rsidRDefault="00097B7B" w:rsidP="00097B7B">
      <w:pPr>
        <w:rPr>
          <w:rFonts w:cs="Arial"/>
          <w:szCs w:val="24"/>
        </w:rPr>
      </w:pPr>
      <w:r w:rsidRPr="00674783">
        <w:rPr>
          <w:rFonts w:cs="Arial"/>
          <w:szCs w:val="24"/>
        </w:rPr>
        <w:t>These projects will be delivered in a staged way over coming years as part of a planned programme. The Resilient Harrow Programme has established the foundations of this future work.</w:t>
      </w:r>
    </w:p>
    <w:p w:rsidR="00097B7B" w:rsidRPr="00674783" w:rsidRDefault="00097B7B" w:rsidP="00097B7B">
      <w:pPr>
        <w:pStyle w:val="ListParagraph"/>
        <w:numPr>
          <w:ilvl w:val="0"/>
          <w:numId w:val="32"/>
        </w:numPr>
        <w:spacing w:after="200" w:line="276" w:lineRule="auto"/>
        <w:contextualSpacing/>
        <w:rPr>
          <w:sz w:val="24"/>
          <w:szCs w:val="24"/>
        </w:rPr>
      </w:pPr>
      <w:r w:rsidRPr="00674783">
        <w:rPr>
          <w:sz w:val="24"/>
          <w:szCs w:val="24"/>
        </w:rPr>
        <w:t>Commissioning and contract management functions have been established as part of the Adults Resources restructure</w:t>
      </w:r>
    </w:p>
    <w:p w:rsidR="00097B7B" w:rsidRPr="00674783" w:rsidRDefault="00097B7B" w:rsidP="00097B7B">
      <w:pPr>
        <w:pStyle w:val="ListParagraph"/>
        <w:numPr>
          <w:ilvl w:val="0"/>
          <w:numId w:val="32"/>
        </w:numPr>
        <w:spacing w:after="200" w:line="276" w:lineRule="auto"/>
        <w:contextualSpacing/>
        <w:rPr>
          <w:sz w:val="24"/>
          <w:szCs w:val="24"/>
        </w:rPr>
      </w:pPr>
      <w:r w:rsidRPr="00674783">
        <w:rPr>
          <w:sz w:val="24"/>
          <w:szCs w:val="24"/>
        </w:rPr>
        <w:t>A Market Position Statement and Commissioning programme are being developed which will set out future plans</w:t>
      </w:r>
    </w:p>
    <w:p w:rsidR="00097B7B" w:rsidRPr="00674783" w:rsidRDefault="00097B7B" w:rsidP="00097B7B">
      <w:pPr>
        <w:rPr>
          <w:rFonts w:cs="Arial"/>
          <w:szCs w:val="24"/>
        </w:rPr>
      </w:pPr>
    </w:p>
    <w:p w:rsidR="00097B7B" w:rsidRPr="00674783" w:rsidRDefault="00097B7B" w:rsidP="00097B7B">
      <w:pPr>
        <w:rPr>
          <w:rFonts w:cs="Arial"/>
          <w:b/>
          <w:szCs w:val="24"/>
        </w:rPr>
      </w:pPr>
      <w:r w:rsidRPr="00674783">
        <w:rPr>
          <w:rFonts w:cs="Arial"/>
          <w:b/>
          <w:szCs w:val="24"/>
        </w:rPr>
        <w:t>Future plans and structures:</w:t>
      </w:r>
    </w:p>
    <w:p w:rsidR="00674783" w:rsidRPr="00674783" w:rsidRDefault="00674783" w:rsidP="00097B7B">
      <w:pPr>
        <w:rPr>
          <w:rFonts w:cs="Arial"/>
          <w:szCs w:val="24"/>
        </w:rPr>
      </w:pPr>
      <w:r w:rsidRPr="00674783">
        <w:rPr>
          <w:rFonts w:cs="Arial"/>
          <w:szCs w:val="24"/>
        </w:rPr>
        <w:t xml:space="preserve">The </w:t>
      </w:r>
      <w:r w:rsidR="00097B7B" w:rsidRPr="00674783">
        <w:rPr>
          <w:rFonts w:cs="Arial"/>
          <w:szCs w:val="24"/>
        </w:rPr>
        <w:t>Resilient Harrow Programme</w:t>
      </w:r>
      <w:r w:rsidRPr="00674783">
        <w:rPr>
          <w:rFonts w:cs="Arial"/>
          <w:szCs w:val="24"/>
        </w:rPr>
        <w:t xml:space="preserve"> Board agreed in November 2019 that the programme be discontinued </w:t>
      </w:r>
      <w:r w:rsidR="00097B7B" w:rsidRPr="00674783">
        <w:rPr>
          <w:rFonts w:cs="Arial"/>
          <w:szCs w:val="24"/>
        </w:rPr>
        <w:t>in its current form</w:t>
      </w:r>
      <w:r w:rsidRPr="00674783">
        <w:rPr>
          <w:rFonts w:cs="Arial"/>
          <w:szCs w:val="24"/>
        </w:rPr>
        <w:t xml:space="preserve"> as many projects are now fully established</w:t>
      </w:r>
      <w:r w:rsidR="004646BB">
        <w:rPr>
          <w:rFonts w:cs="Arial"/>
          <w:szCs w:val="24"/>
        </w:rPr>
        <w:t xml:space="preserve"> and operating as ‘Business As U</w:t>
      </w:r>
      <w:r w:rsidRPr="00674783">
        <w:rPr>
          <w:rFonts w:cs="Arial"/>
          <w:szCs w:val="24"/>
        </w:rPr>
        <w:t>sual’. Other projects relate to the delivery of a detailed Commissioning programme.</w:t>
      </w:r>
    </w:p>
    <w:p w:rsidR="00674783" w:rsidRPr="00674783" w:rsidRDefault="00674783" w:rsidP="00097B7B">
      <w:pPr>
        <w:rPr>
          <w:rFonts w:cs="Arial"/>
          <w:szCs w:val="24"/>
        </w:rPr>
      </w:pPr>
    </w:p>
    <w:p w:rsidR="00097B7B" w:rsidRPr="00674783" w:rsidRDefault="00674783" w:rsidP="00097B7B">
      <w:pPr>
        <w:rPr>
          <w:rFonts w:cs="Arial"/>
          <w:szCs w:val="24"/>
        </w:rPr>
      </w:pPr>
      <w:proofErr w:type="gramStart"/>
      <w:r w:rsidRPr="00674783">
        <w:rPr>
          <w:rFonts w:cs="Arial"/>
          <w:szCs w:val="24"/>
        </w:rPr>
        <w:t xml:space="preserve">As from January 2020 </w:t>
      </w:r>
      <w:r w:rsidR="00097B7B" w:rsidRPr="00674783">
        <w:rPr>
          <w:rFonts w:cs="Arial"/>
          <w:szCs w:val="24"/>
        </w:rPr>
        <w:t>the on-going monitoring of closed projects, future delivery</w:t>
      </w:r>
      <w:r w:rsidRPr="00674783">
        <w:rPr>
          <w:rFonts w:cs="Arial"/>
          <w:szCs w:val="24"/>
        </w:rPr>
        <w:t xml:space="preserve"> of projects currently underway, </w:t>
      </w:r>
      <w:r w:rsidR="00097B7B" w:rsidRPr="00674783">
        <w:rPr>
          <w:rFonts w:cs="Arial"/>
          <w:szCs w:val="24"/>
        </w:rPr>
        <w:t xml:space="preserve">and implementation of planned projects </w:t>
      </w:r>
      <w:r w:rsidRPr="00674783">
        <w:rPr>
          <w:rFonts w:cs="Arial"/>
          <w:szCs w:val="24"/>
        </w:rPr>
        <w:t xml:space="preserve">will be provided </w:t>
      </w:r>
      <w:r w:rsidR="00097B7B" w:rsidRPr="00674783">
        <w:rPr>
          <w:rFonts w:cs="Arial"/>
          <w:szCs w:val="24"/>
        </w:rPr>
        <w:t>through revised governance structures.</w:t>
      </w:r>
      <w:proofErr w:type="gramEnd"/>
      <w:r w:rsidR="00097B7B" w:rsidRPr="00674783">
        <w:rPr>
          <w:rFonts w:cs="Arial"/>
          <w:szCs w:val="24"/>
        </w:rPr>
        <w:t xml:space="preserve"> </w:t>
      </w:r>
    </w:p>
    <w:p w:rsidR="00674783" w:rsidRDefault="00674783" w:rsidP="00097B7B">
      <w:pPr>
        <w:rPr>
          <w:rFonts w:cs="Arial"/>
          <w:szCs w:val="24"/>
        </w:rPr>
      </w:pPr>
    </w:p>
    <w:p w:rsidR="007B5574" w:rsidRPr="00674783" w:rsidRDefault="007B5574" w:rsidP="00097B7B">
      <w:pPr>
        <w:rPr>
          <w:rFonts w:cs="Arial"/>
          <w:szCs w:val="24"/>
        </w:rPr>
      </w:pPr>
    </w:p>
    <w:p w:rsidR="00097B7B" w:rsidRPr="00674783" w:rsidRDefault="00097B7B" w:rsidP="00097B7B">
      <w:pPr>
        <w:rPr>
          <w:rFonts w:cs="Arial"/>
          <w:szCs w:val="24"/>
        </w:rPr>
      </w:pPr>
      <w:r w:rsidRPr="00674783">
        <w:rPr>
          <w:rFonts w:cs="Arial"/>
          <w:szCs w:val="24"/>
        </w:rPr>
        <w:lastRenderedPageBreak/>
        <w:t>Projects will be split between:</w:t>
      </w:r>
    </w:p>
    <w:p w:rsidR="00097B7B" w:rsidRPr="00674783" w:rsidRDefault="00097B7B" w:rsidP="00097B7B">
      <w:pPr>
        <w:pStyle w:val="ListParagraph"/>
        <w:numPr>
          <w:ilvl w:val="0"/>
          <w:numId w:val="33"/>
        </w:numPr>
        <w:spacing w:after="200" w:line="276" w:lineRule="auto"/>
        <w:contextualSpacing/>
        <w:rPr>
          <w:b/>
          <w:sz w:val="24"/>
          <w:szCs w:val="24"/>
        </w:rPr>
      </w:pPr>
      <w:r w:rsidRPr="00674783">
        <w:rPr>
          <w:sz w:val="24"/>
          <w:szCs w:val="24"/>
        </w:rPr>
        <w:t xml:space="preserve">Adults Social Care Improvement Board </w:t>
      </w:r>
      <w:r w:rsidR="00674783">
        <w:rPr>
          <w:sz w:val="24"/>
          <w:szCs w:val="24"/>
        </w:rPr>
        <w:t>– chaired by the   Director of Adult Social Services (DASS)</w:t>
      </w:r>
    </w:p>
    <w:p w:rsidR="00097B7B" w:rsidRPr="00674783" w:rsidRDefault="00097B7B" w:rsidP="00097B7B">
      <w:pPr>
        <w:pStyle w:val="ListParagraph"/>
        <w:numPr>
          <w:ilvl w:val="0"/>
          <w:numId w:val="33"/>
        </w:numPr>
        <w:spacing w:after="200" w:line="276" w:lineRule="auto"/>
        <w:contextualSpacing/>
        <w:rPr>
          <w:b/>
          <w:sz w:val="24"/>
          <w:szCs w:val="24"/>
        </w:rPr>
      </w:pPr>
      <w:r w:rsidRPr="00674783">
        <w:rPr>
          <w:sz w:val="24"/>
          <w:szCs w:val="24"/>
        </w:rPr>
        <w:t xml:space="preserve">ASC Commissioning </w:t>
      </w:r>
      <w:proofErr w:type="spellStart"/>
      <w:r w:rsidRPr="00674783">
        <w:rPr>
          <w:sz w:val="24"/>
          <w:szCs w:val="24"/>
        </w:rPr>
        <w:t>Workstream</w:t>
      </w:r>
      <w:proofErr w:type="spellEnd"/>
      <w:r w:rsidRPr="00674783">
        <w:rPr>
          <w:sz w:val="24"/>
          <w:szCs w:val="24"/>
        </w:rPr>
        <w:t xml:space="preserve"> – reporting to </w:t>
      </w:r>
      <w:r w:rsidR="00674783">
        <w:rPr>
          <w:sz w:val="24"/>
          <w:szCs w:val="24"/>
        </w:rPr>
        <w:t xml:space="preserve">the corporate </w:t>
      </w:r>
      <w:r w:rsidRPr="00674783">
        <w:rPr>
          <w:sz w:val="24"/>
          <w:szCs w:val="24"/>
        </w:rPr>
        <w:t>Commissioning Board</w:t>
      </w:r>
    </w:p>
    <w:p w:rsidR="00097B7B" w:rsidRDefault="00097B7B" w:rsidP="00097B7B">
      <w:pPr>
        <w:rPr>
          <w:rFonts w:cs="Arial"/>
          <w:szCs w:val="24"/>
        </w:rPr>
      </w:pPr>
      <w:r w:rsidRPr="00674783">
        <w:rPr>
          <w:rFonts w:cs="Arial"/>
          <w:szCs w:val="24"/>
        </w:rPr>
        <w:t>The table below shows these groupings.</w:t>
      </w:r>
    </w:p>
    <w:p w:rsidR="007B5574" w:rsidRPr="00674783" w:rsidRDefault="007B5574" w:rsidP="00097B7B">
      <w:pPr>
        <w:rPr>
          <w:rFonts w:cs="Arial"/>
          <w:szCs w:val="24"/>
        </w:rPr>
      </w:pPr>
    </w:p>
    <w:tbl>
      <w:tblPr>
        <w:tblStyle w:val="TableGrid"/>
        <w:tblW w:w="0" w:type="auto"/>
        <w:tblLook w:val="04A0" w:firstRow="1" w:lastRow="0" w:firstColumn="1" w:lastColumn="0" w:noHBand="0" w:noVBand="1"/>
      </w:tblPr>
      <w:tblGrid>
        <w:gridCol w:w="4245"/>
        <w:gridCol w:w="4280"/>
      </w:tblGrid>
      <w:tr w:rsidR="00097B7B" w:rsidRPr="00674783" w:rsidTr="003D0CF8">
        <w:tc>
          <w:tcPr>
            <w:tcW w:w="4621" w:type="dxa"/>
          </w:tcPr>
          <w:p w:rsidR="00097B7B" w:rsidRPr="00674783" w:rsidRDefault="00097B7B" w:rsidP="003D0CF8">
            <w:pPr>
              <w:rPr>
                <w:rFonts w:cs="Arial"/>
                <w:b/>
                <w:szCs w:val="24"/>
              </w:rPr>
            </w:pPr>
            <w:r w:rsidRPr="00674783">
              <w:rPr>
                <w:rFonts w:cs="Arial"/>
                <w:b/>
                <w:szCs w:val="24"/>
              </w:rPr>
              <w:t xml:space="preserve">Adults Social Care Improvement Board </w:t>
            </w:r>
          </w:p>
          <w:p w:rsidR="00097B7B" w:rsidRPr="00674783" w:rsidRDefault="00097B7B" w:rsidP="003D0CF8">
            <w:pPr>
              <w:rPr>
                <w:rFonts w:cs="Arial"/>
                <w:b/>
                <w:szCs w:val="24"/>
              </w:rPr>
            </w:pPr>
          </w:p>
        </w:tc>
        <w:tc>
          <w:tcPr>
            <w:tcW w:w="4621" w:type="dxa"/>
          </w:tcPr>
          <w:p w:rsidR="00097B7B" w:rsidRPr="00674783" w:rsidRDefault="00097B7B" w:rsidP="003D0CF8">
            <w:pPr>
              <w:rPr>
                <w:rFonts w:cs="Arial"/>
                <w:b/>
                <w:szCs w:val="24"/>
              </w:rPr>
            </w:pPr>
            <w:r w:rsidRPr="00674783">
              <w:rPr>
                <w:rFonts w:cs="Arial"/>
                <w:b/>
                <w:szCs w:val="24"/>
              </w:rPr>
              <w:t xml:space="preserve">ASC Commissioning </w:t>
            </w:r>
            <w:proofErr w:type="spellStart"/>
            <w:r w:rsidRPr="00674783">
              <w:rPr>
                <w:rFonts w:cs="Arial"/>
                <w:b/>
                <w:szCs w:val="24"/>
              </w:rPr>
              <w:t>Workstream</w:t>
            </w:r>
            <w:proofErr w:type="spellEnd"/>
          </w:p>
        </w:tc>
      </w:tr>
      <w:tr w:rsidR="00097B7B" w:rsidRPr="00674783" w:rsidTr="003D0CF8">
        <w:tc>
          <w:tcPr>
            <w:tcW w:w="4621" w:type="dxa"/>
          </w:tcPr>
          <w:p w:rsidR="00097B7B" w:rsidRPr="00674783" w:rsidRDefault="00097B7B" w:rsidP="003D0CF8">
            <w:pPr>
              <w:rPr>
                <w:rFonts w:cs="Arial"/>
                <w:szCs w:val="24"/>
              </w:rPr>
            </w:pPr>
            <w:r w:rsidRPr="00674783">
              <w:rPr>
                <w:rFonts w:cs="Arial"/>
                <w:szCs w:val="24"/>
              </w:rPr>
              <w:t xml:space="preserve">Effective </w:t>
            </w:r>
            <w:proofErr w:type="spellStart"/>
            <w:r w:rsidRPr="00674783">
              <w:rPr>
                <w:rFonts w:cs="Arial"/>
                <w:szCs w:val="24"/>
              </w:rPr>
              <w:t>Reablement</w:t>
            </w:r>
            <w:proofErr w:type="spellEnd"/>
          </w:p>
          <w:p w:rsidR="00097B7B" w:rsidRPr="00674783" w:rsidRDefault="00097B7B" w:rsidP="003D0CF8">
            <w:pPr>
              <w:rPr>
                <w:rFonts w:cs="Arial"/>
                <w:szCs w:val="24"/>
              </w:rPr>
            </w:pPr>
            <w:r w:rsidRPr="00674783">
              <w:rPr>
                <w:rFonts w:cs="Arial"/>
                <w:szCs w:val="24"/>
              </w:rPr>
              <w:t>Effective Hospital Discharge</w:t>
            </w:r>
          </w:p>
          <w:p w:rsidR="00097B7B" w:rsidRPr="00674783" w:rsidRDefault="00097B7B" w:rsidP="003D0CF8">
            <w:pPr>
              <w:rPr>
                <w:rFonts w:cs="Arial"/>
                <w:szCs w:val="24"/>
              </w:rPr>
            </w:pPr>
            <w:r w:rsidRPr="00674783">
              <w:rPr>
                <w:rFonts w:cs="Arial"/>
                <w:szCs w:val="24"/>
              </w:rPr>
              <w:t>3 Conversations</w:t>
            </w:r>
          </w:p>
          <w:p w:rsidR="00097B7B" w:rsidRPr="00674783" w:rsidRDefault="00097B7B" w:rsidP="003D0CF8">
            <w:pPr>
              <w:rPr>
                <w:rFonts w:cs="Arial"/>
                <w:szCs w:val="24"/>
              </w:rPr>
            </w:pPr>
            <w:r w:rsidRPr="00674783">
              <w:rPr>
                <w:rFonts w:cs="Arial"/>
                <w:szCs w:val="24"/>
              </w:rPr>
              <w:t>Targeting reviews effectively</w:t>
            </w:r>
          </w:p>
        </w:tc>
        <w:tc>
          <w:tcPr>
            <w:tcW w:w="4621" w:type="dxa"/>
          </w:tcPr>
          <w:p w:rsidR="00097B7B" w:rsidRPr="00674783" w:rsidRDefault="00097B7B" w:rsidP="003D0CF8">
            <w:pPr>
              <w:rPr>
                <w:rFonts w:cs="Arial"/>
                <w:szCs w:val="24"/>
              </w:rPr>
            </w:pPr>
            <w:r w:rsidRPr="00674783">
              <w:rPr>
                <w:rFonts w:cs="Arial"/>
                <w:szCs w:val="24"/>
              </w:rPr>
              <w:t>MPS and Commissioning plans</w:t>
            </w:r>
          </w:p>
          <w:p w:rsidR="00097B7B" w:rsidRPr="00674783" w:rsidRDefault="00097B7B" w:rsidP="003D0CF8">
            <w:pPr>
              <w:rPr>
                <w:rFonts w:cs="Arial"/>
                <w:szCs w:val="24"/>
              </w:rPr>
            </w:pPr>
            <w:proofErr w:type="spellStart"/>
            <w:r w:rsidRPr="00674783">
              <w:rPr>
                <w:rFonts w:cs="Arial"/>
                <w:szCs w:val="24"/>
              </w:rPr>
              <w:t>MyCEP</w:t>
            </w:r>
            <w:proofErr w:type="spellEnd"/>
            <w:r w:rsidRPr="00674783">
              <w:rPr>
                <w:rFonts w:cs="Arial"/>
                <w:szCs w:val="24"/>
              </w:rPr>
              <w:t xml:space="preserve"> and </w:t>
            </w:r>
            <w:proofErr w:type="spellStart"/>
            <w:r w:rsidRPr="00674783">
              <w:rPr>
                <w:rFonts w:cs="Arial"/>
                <w:szCs w:val="24"/>
              </w:rPr>
              <w:t>CarePlace</w:t>
            </w:r>
            <w:proofErr w:type="spellEnd"/>
            <w:r w:rsidRPr="00674783">
              <w:rPr>
                <w:rFonts w:cs="Arial"/>
                <w:szCs w:val="24"/>
              </w:rPr>
              <w:t xml:space="preserve"> review</w:t>
            </w:r>
          </w:p>
          <w:p w:rsidR="00097B7B" w:rsidRPr="00674783" w:rsidRDefault="00097B7B" w:rsidP="003D0CF8">
            <w:pPr>
              <w:tabs>
                <w:tab w:val="left" w:pos="2655"/>
              </w:tabs>
              <w:rPr>
                <w:rFonts w:cs="Arial"/>
                <w:szCs w:val="24"/>
              </w:rPr>
            </w:pPr>
            <w:r w:rsidRPr="00674783">
              <w:rPr>
                <w:rFonts w:cs="Arial"/>
                <w:szCs w:val="24"/>
              </w:rPr>
              <w:t>Extra Care</w:t>
            </w:r>
            <w:r w:rsidRPr="00674783">
              <w:rPr>
                <w:rFonts w:cs="Arial"/>
                <w:szCs w:val="24"/>
              </w:rPr>
              <w:tab/>
            </w:r>
          </w:p>
          <w:p w:rsidR="00097B7B" w:rsidRPr="00674783" w:rsidRDefault="00097B7B" w:rsidP="003D0CF8">
            <w:pPr>
              <w:rPr>
                <w:rFonts w:cs="Arial"/>
                <w:szCs w:val="24"/>
              </w:rPr>
            </w:pPr>
            <w:r w:rsidRPr="00674783">
              <w:rPr>
                <w:rFonts w:cs="Arial"/>
                <w:szCs w:val="24"/>
              </w:rPr>
              <w:t>Housing Related Support</w:t>
            </w:r>
          </w:p>
          <w:p w:rsidR="00097B7B" w:rsidRPr="00674783" w:rsidRDefault="00097B7B" w:rsidP="003D0CF8">
            <w:pPr>
              <w:rPr>
                <w:rFonts w:cs="Arial"/>
                <w:szCs w:val="24"/>
              </w:rPr>
            </w:pPr>
            <w:r w:rsidRPr="00674783">
              <w:rPr>
                <w:rFonts w:cs="Arial"/>
                <w:szCs w:val="24"/>
              </w:rPr>
              <w:t>Empowering Resilience in Mental Health</w:t>
            </w:r>
          </w:p>
          <w:p w:rsidR="00097B7B" w:rsidRPr="00674783" w:rsidRDefault="00097B7B" w:rsidP="003D0CF8">
            <w:pPr>
              <w:rPr>
                <w:rFonts w:cs="Arial"/>
                <w:szCs w:val="24"/>
              </w:rPr>
            </w:pPr>
            <w:r w:rsidRPr="00674783">
              <w:rPr>
                <w:rFonts w:cs="Arial"/>
                <w:szCs w:val="24"/>
              </w:rPr>
              <w:t>Harrow is Home</w:t>
            </w:r>
          </w:p>
          <w:p w:rsidR="00097B7B" w:rsidRPr="00674783" w:rsidRDefault="00097B7B" w:rsidP="003D0CF8">
            <w:pPr>
              <w:rPr>
                <w:rFonts w:cs="Arial"/>
                <w:szCs w:val="24"/>
              </w:rPr>
            </w:pPr>
            <w:r w:rsidRPr="00674783">
              <w:rPr>
                <w:rFonts w:cs="Arial"/>
                <w:szCs w:val="24"/>
              </w:rPr>
              <w:t>Assistive Technology</w:t>
            </w:r>
          </w:p>
        </w:tc>
      </w:tr>
    </w:tbl>
    <w:p w:rsidR="005441BD" w:rsidRPr="00674783" w:rsidRDefault="005441BD">
      <w:pPr>
        <w:rPr>
          <w:color w:val="0000FF"/>
          <w:szCs w:val="24"/>
        </w:rPr>
      </w:pPr>
    </w:p>
    <w:p w:rsidR="00097B7B" w:rsidRDefault="00097B7B">
      <w:pPr>
        <w:rPr>
          <w:color w:val="0000FF"/>
        </w:rPr>
      </w:pPr>
    </w:p>
    <w:p w:rsidR="004E104D" w:rsidRDefault="004E104D">
      <w:pPr>
        <w:pStyle w:val="Heading2"/>
      </w:pPr>
      <w:r>
        <w:t>Ward Councillors’ comments</w:t>
      </w:r>
    </w:p>
    <w:p w:rsidR="00DA38BD" w:rsidRDefault="00DA38BD" w:rsidP="00DA38BD"/>
    <w:p w:rsidR="0021169C" w:rsidRPr="00960B1F" w:rsidRDefault="00960B1F" w:rsidP="00DA38BD">
      <w:pPr>
        <w:rPr>
          <w:color w:val="000000" w:themeColor="text1"/>
        </w:rPr>
      </w:pPr>
      <w:r w:rsidRPr="00960B1F">
        <w:rPr>
          <w:color w:val="000000" w:themeColor="text1"/>
        </w:rPr>
        <w:t>Portfolio holders have been consulted on the contents of this report through their engagement in the Resilient Harrow Programme Board governance arrangements</w:t>
      </w:r>
    </w:p>
    <w:p w:rsidR="00960B1F" w:rsidRPr="0021169C" w:rsidRDefault="00960B1F" w:rsidP="00DA38BD">
      <w:pPr>
        <w:rPr>
          <w:color w:val="FF0000"/>
        </w:rPr>
      </w:pPr>
    </w:p>
    <w:p w:rsidR="005441BD" w:rsidRDefault="005441BD">
      <w:pPr>
        <w:pStyle w:val="Heading2"/>
      </w:pPr>
      <w:r>
        <w:t>Financial Implications</w:t>
      </w:r>
    </w:p>
    <w:p w:rsidR="00830C97" w:rsidRDefault="00830C97" w:rsidP="00830C97"/>
    <w:p w:rsidR="00A4147E" w:rsidRDefault="00A4147E" w:rsidP="00A4147E">
      <w:pPr>
        <w:rPr>
          <w:rFonts w:cs="Arial"/>
          <w:szCs w:val="24"/>
        </w:rPr>
      </w:pPr>
      <w:r w:rsidRPr="00CF17AC">
        <w:rPr>
          <w:rFonts w:cs="Arial"/>
          <w:szCs w:val="24"/>
        </w:rPr>
        <w:t>As described in the main body of the report, there has been a significant increase in Adult Social Care expenditure in recent years</w:t>
      </w:r>
      <w:r>
        <w:rPr>
          <w:rFonts w:cs="Arial"/>
          <w:szCs w:val="24"/>
        </w:rPr>
        <w:t>.</w:t>
      </w:r>
    </w:p>
    <w:p w:rsidR="00A4147E" w:rsidRPr="00CF17AC" w:rsidRDefault="00A4147E" w:rsidP="00A4147E">
      <w:pPr>
        <w:rPr>
          <w:rFonts w:cs="Arial"/>
          <w:szCs w:val="24"/>
        </w:rPr>
      </w:pPr>
    </w:p>
    <w:p w:rsidR="00A4147E" w:rsidRPr="007B5574" w:rsidRDefault="00A4147E" w:rsidP="00A4147E">
      <w:pPr>
        <w:rPr>
          <w:rFonts w:cs="Arial"/>
          <w:szCs w:val="24"/>
        </w:rPr>
      </w:pPr>
      <w:r w:rsidRPr="00CF17AC">
        <w:rPr>
          <w:rFonts w:cs="Arial"/>
          <w:szCs w:val="24"/>
        </w:rPr>
        <w:t xml:space="preserve">The table below shows the trend (net of client contributions). </w:t>
      </w:r>
    </w:p>
    <w:tbl>
      <w:tblPr>
        <w:tblStyle w:val="TableGrid"/>
        <w:tblpPr w:leftFromText="180" w:rightFromText="180" w:vertAnchor="text" w:horzAnchor="margin" w:tblpXSpec="center" w:tblpY="-34"/>
        <w:tblW w:w="11482" w:type="dxa"/>
        <w:tblLayout w:type="fixed"/>
        <w:tblLook w:val="04A0" w:firstRow="1" w:lastRow="0" w:firstColumn="1" w:lastColumn="0" w:noHBand="0" w:noVBand="1"/>
      </w:tblPr>
      <w:tblGrid>
        <w:gridCol w:w="1020"/>
        <w:gridCol w:w="1198"/>
        <w:gridCol w:w="1276"/>
        <w:gridCol w:w="1467"/>
        <w:gridCol w:w="1226"/>
        <w:gridCol w:w="1418"/>
        <w:gridCol w:w="1417"/>
        <w:gridCol w:w="1276"/>
        <w:gridCol w:w="1184"/>
      </w:tblGrid>
      <w:tr w:rsidR="00A4147E" w:rsidRPr="00CF17AC" w:rsidTr="003D0CF8">
        <w:tc>
          <w:tcPr>
            <w:tcW w:w="1020" w:type="dxa"/>
          </w:tcPr>
          <w:p w:rsidR="00A4147E" w:rsidRPr="00CF17AC" w:rsidRDefault="00A4147E" w:rsidP="003D0CF8">
            <w:pPr>
              <w:rPr>
                <w:rFonts w:cs="Arial"/>
                <w:szCs w:val="24"/>
              </w:rPr>
            </w:pPr>
          </w:p>
        </w:tc>
        <w:tc>
          <w:tcPr>
            <w:tcW w:w="1198" w:type="dxa"/>
          </w:tcPr>
          <w:p w:rsidR="00A4147E" w:rsidRDefault="00A4147E" w:rsidP="003D0CF8">
            <w:pPr>
              <w:autoSpaceDE w:val="0"/>
              <w:autoSpaceDN w:val="0"/>
              <w:jc w:val="right"/>
              <w:rPr>
                <w:rFonts w:cs="Arial"/>
                <w:b/>
                <w:bCs/>
                <w:color w:val="000000"/>
                <w:szCs w:val="24"/>
              </w:rPr>
            </w:pPr>
            <w:r w:rsidRPr="00CF17AC">
              <w:rPr>
                <w:rFonts w:cs="Arial"/>
                <w:b/>
                <w:bCs/>
                <w:color w:val="000000"/>
                <w:szCs w:val="24"/>
              </w:rPr>
              <w:t>2013-14</w:t>
            </w:r>
          </w:p>
          <w:p w:rsidR="00A4147E" w:rsidRPr="00CF17AC" w:rsidRDefault="00A4147E" w:rsidP="003D0CF8">
            <w:pPr>
              <w:autoSpaceDE w:val="0"/>
              <w:autoSpaceDN w:val="0"/>
              <w:jc w:val="right"/>
              <w:rPr>
                <w:rFonts w:cs="Arial"/>
                <w:b/>
                <w:bCs/>
                <w:color w:val="000000"/>
                <w:szCs w:val="24"/>
              </w:rPr>
            </w:pPr>
            <w:r>
              <w:rPr>
                <w:rFonts w:cs="Arial"/>
                <w:b/>
                <w:bCs/>
                <w:color w:val="000000"/>
                <w:szCs w:val="24"/>
              </w:rPr>
              <w:t>£000</w:t>
            </w:r>
          </w:p>
        </w:tc>
        <w:tc>
          <w:tcPr>
            <w:tcW w:w="1276" w:type="dxa"/>
          </w:tcPr>
          <w:p w:rsidR="00A4147E" w:rsidRDefault="00A4147E" w:rsidP="003D0CF8">
            <w:pPr>
              <w:autoSpaceDE w:val="0"/>
              <w:autoSpaceDN w:val="0"/>
              <w:jc w:val="right"/>
              <w:rPr>
                <w:rFonts w:cs="Arial"/>
                <w:b/>
                <w:bCs/>
                <w:color w:val="000000"/>
                <w:szCs w:val="24"/>
              </w:rPr>
            </w:pPr>
            <w:r w:rsidRPr="00CF17AC">
              <w:rPr>
                <w:rFonts w:cs="Arial"/>
                <w:b/>
                <w:bCs/>
                <w:color w:val="000000"/>
                <w:szCs w:val="24"/>
              </w:rPr>
              <w:t>2014-15</w:t>
            </w:r>
          </w:p>
          <w:p w:rsidR="00A4147E" w:rsidRPr="00CF17AC" w:rsidRDefault="00A4147E" w:rsidP="003D0CF8">
            <w:pPr>
              <w:autoSpaceDE w:val="0"/>
              <w:autoSpaceDN w:val="0"/>
              <w:jc w:val="right"/>
              <w:rPr>
                <w:rFonts w:cs="Arial"/>
                <w:b/>
                <w:bCs/>
                <w:color w:val="000000"/>
                <w:szCs w:val="24"/>
              </w:rPr>
            </w:pPr>
            <w:r>
              <w:rPr>
                <w:rFonts w:cs="Arial"/>
                <w:b/>
                <w:bCs/>
                <w:color w:val="000000"/>
                <w:szCs w:val="24"/>
              </w:rPr>
              <w:t>£000</w:t>
            </w:r>
          </w:p>
        </w:tc>
        <w:tc>
          <w:tcPr>
            <w:tcW w:w="1467" w:type="dxa"/>
          </w:tcPr>
          <w:p w:rsidR="00A4147E" w:rsidRDefault="00A4147E" w:rsidP="003D0CF8">
            <w:pPr>
              <w:autoSpaceDE w:val="0"/>
              <w:autoSpaceDN w:val="0"/>
              <w:jc w:val="right"/>
              <w:rPr>
                <w:rFonts w:cs="Arial"/>
                <w:b/>
                <w:bCs/>
                <w:color w:val="000000"/>
                <w:szCs w:val="24"/>
              </w:rPr>
            </w:pPr>
            <w:r w:rsidRPr="00CF17AC">
              <w:rPr>
                <w:rFonts w:cs="Arial"/>
                <w:b/>
                <w:bCs/>
                <w:color w:val="000000"/>
                <w:szCs w:val="24"/>
              </w:rPr>
              <w:t>2015-16</w:t>
            </w:r>
          </w:p>
          <w:p w:rsidR="00A4147E" w:rsidRPr="00CF17AC" w:rsidRDefault="00A4147E" w:rsidP="003D0CF8">
            <w:pPr>
              <w:autoSpaceDE w:val="0"/>
              <w:autoSpaceDN w:val="0"/>
              <w:jc w:val="right"/>
              <w:rPr>
                <w:rFonts w:cs="Arial"/>
                <w:b/>
                <w:bCs/>
                <w:color w:val="000000"/>
                <w:szCs w:val="24"/>
              </w:rPr>
            </w:pPr>
            <w:r>
              <w:rPr>
                <w:rFonts w:cs="Arial"/>
                <w:b/>
                <w:bCs/>
                <w:color w:val="000000"/>
                <w:szCs w:val="24"/>
              </w:rPr>
              <w:t>£000</w:t>
            </w:r>
          </w:p>
        </w:tc>
        <w:tc>
          <w:tcPr>
            <w:tcW w:w="1226" w:type="dxa"/>
          </w:tcPr>
          <w:p w:rsidR="00A4147E" w:rsidRDefault="00A4147E" w:rsidP="003D0CF8">
            <w:pPr>
              <w:autoSpaceDE w:val="0"/>
              <w:autoSpaceDN w:val="0"/>
              <w:jc w:val="right"/>
              <w:rPr>
                <w:rFonts w:cs="Arial"/>
                <w:b/>
                <w:bCs/>
                <w:color w:val="000000"/>
                <w:szCs w:val="24"/>
              </w:rPr>
            </w:pPr>
            <w:r w:rsidRPr="00CF17AC">
              <w:rPr>
                <w:rFonts w:cs="Arial"/>
                <w:b/>
                <w:bCs/>
                <w:color w:val="000000"/>
                <w:szCs w:val="24"/>
              </w:rPr>
              <w:t>2016-17</w:t>
            </w:r>
          </w:p>
          <w:p w:rsidR="00A4147E" w:rsidRPr="00CF17AC" w:rsidRDefault="00A4147E" w:rsidP="003D0CF8">
            <w:pPr>
              <w:autoSpaceDE w:val="0"/>
              <w:autoSpaceDN w:val="0"/>
              <w:jc w:val="right"/>
              <w:rPr>
                <w:rFonts w:cs="Arial"/>
                <w:b/>
                <w:bCs/>
                <w:color w:val="000000"/>
                <w:szCs w:val="24"/>
              </w:rPr>
            </w:pPr>
            <w:r>
              <w:rPr>
                <w:rFonts w:cs="Arial"/>
                <w:b/>
                <w:bCs/>
                <w:color w:val="000000"/>
                <w:szCs w:val="24"/>
              </w:rPr>
              <w:t>£000</w:t>
            </w:r>
          </w:p>
        </w:tc>
        <w:tc>
          <w:tcPr>
            <w:tcW w:w="1418" w:type="dxa"/>
          </w:tcPr>
          <w:p w:rsidR="00A4147E" w:rsidRDefault="00A4147E" w:rsidP="003D0CF8">
            <w:pPr>
              <w:autoSpaceDE w:val="0"/>
              <w:autoSpaceDN w:val="0"/>
              <w:jc w:val="right"/>
              <w:rPr>
                <w:rFonts w:cs="Arial"/>
                <w:b/>
                <w:bCs/>
                <w:color w:val="000000"/>
                <w:szCs w:val="24"/>
              </w:rPr>
            </w:pPr>
            <w:r w:rsidRPr="00CF17AC">
              <w:rPr>
                <w:rFonts w:cs="Arial"/>
                <w:b/>
                <w:bCs/>
                <w:color w:val="000000"/>
                <w:szCs w:val="24"/>
              </w:rPr>
              <w:t>2017-18</w:t>
            </w:r>
          </w:p>
          <w:p w:rsidR="00A4147E" w:rsidRPr="00CF17AC" w:rsidRDefault="00A4147E" w:rsidP="003D0CF8">
            <w:pPr>
              <w:autoSpaceDE w:val="0"/>
              <w:autoSpaceDN w:val="0"/>
              <w:jc w:val="right"/>
              <w:rPr>
                <w:rFonts w:cs="Arial"/>
                <w:b/>
                <w:bCs/>
                <w:color w:val="000000"/>
                <w:szCs w:val="24"/>
              </w:rPr>
            </w:pPr>
            <w:r>
              <w:rPr>
                <w:rFonts w:cs="Arial"/>
                <w:b/>
                <w:bCs/>
                <w:color w:val="000000"/>
                <w:szCs w:val="24"/>
              </w:rPr>
              <w:t>£000</w:t>
            </w:r>
          </w:p>
        </w:tc>
        <w:tc>
          <w:tcPr>
            <w:tcW w:w="1417" w:type="dxa"/>
          </w:tcPr>
          <w:p w:rsidR="00A4147E" w:rsidRDefault="00A4147E" w:rsidP="003D0CF8">
            <w:pPr>
              <w:autoSpaceDE w:val="0"/>
              <w:autoSpaceDN w:val="0"/>
              <w:jc w:val="right"/>
              <w:rPr>
                <w:rFonts w:cs="Arial"/>
                <w:b/>
                <w:bCs/>
                <w:color w:val="000000"/>
                <w:szCs w:val="24"/>
              </w:rPr>
            </w:pPr>
            <w:r w:rsidRPr="00CF17AC">
              <w:rPr>
                <w:rFonts w:cs="Arial"/>
                <w:b/>
                <w:bCs/>
                <w:color w:val="000000"/>
                <w:szCs w:val="24"/>
              </w:rPr>
              <w:t>2018-19</w:t>
            </w:r>
          </w:p>
          <w:p w:rsidR="00A4147E" w:rsidRPr="00CF17AC" w:rsidRDefault="00A4147E" w:rsidP="003D0CF8">
            <w:pPr>
              <w:autoSpaceDE w:val="0"/>
              <w:autoSpaceDN w:val="0"/>
              <w:jc w:val="right"/>
              <w:rPr>
                <w:rFonts w:cs="Arial"/>
                <w:b/>
                <w:bCs/>
                <w:color w:val="000000"/>
                <w:szCs w:val="24"/>
              </w:rPr>
            </w:pPr>
            <w:r>
              <w:rPr>
                <w:rFonts w:cs="Arial"/>
                <w:b/>
                <w:bCs/>
                <w:color w:val="000000"/>
                <w:szCs w:val="24"/>
              </w:rPr>
              <w:t>£000</w:t>
            </w:r>
          </w:p>
        </w:tc>
        <w:tc>
          <w:tcPr>
            <w:tcW w:w="1276" w:type="dxa"/>
          </w:tcPr>
          <w:p w:rsidR="00A4147E" w:rsidRDefault="00A4147E" w:rsidP="003D0CF8">
            <w:pPr>
              <w:autoSpaceDE w:val="0"/>
              <w:autoSpaceDN w:val="0"/>
              <w:jc w:val="right"/>
              <w:rPr>
                <w:rFonts w:cs="Arial"/>
                <w:b/>
                <w:bCs/>
                <w:color w:val="000000"/>
                <w:szCs w:val="24"/>
              </w:rPr>
            </w:pPr>
            <w:r w:rsidRPr="00CF17AC">
              <w:rPr>
                <w:rFonts w:cs="Arial"/>
                <w:b/>
                <w:bCs/>
                <w:color w:val="000000"/>
                <w:szCs w:val="24"/>
              </w:rPr>
              <w:t>2019-20</w:t>
            </w:r>
          </w:p>
          <w:p w:rsidR="00A4147E" w:rsidRPr="00CF17AC" w:rsidRDefault="00A4147E" w:rsidP="003D0CF8">
            <w:pPr>
              <w:autoSpaceDE w:val="0"/>
              <w:autoSpaceDN w:val="0"/>
              <w:jc w:val="right"/>
              <w:rPr>
                <w:rFonts w:cs="Arial"/>
                <w:b/>
                <w:bCs/>
                <w:color w:val="000000"/>
                <w:szCs w:val="24"/>
              </w:rPr>
            </w:pPr>
            <w:r>
              <w:rPr>
                <w:rFonts w:cs="Arial"/>
                <w:b/>
                <w:bCs/>
                <w:color w:val="000000"/>
                <w:szCs w:val="24"/>
              </w:rPr>
              <w:t>£000</w:t>
            </w:r>
          </w:p>
        </w:tc>
        <w:tc>
          <w:tcPr>
            <w:tcW w:w="1184" w:type="dxa"/>
          </w:tcPr>
          <w:p w:rsidR="00A4147E" w:rsidRDefault="00A4147E" w:rsidP="003D0CF8">
            <w:pPr>
              <w:autoSpaceDE w:val="0"/>
              <w:autoSpaceDN w:val="0"/>
              <w:jc w:val="right"/>
              <w:rPr>
                <w:rFonts w:cs="Arial"/>
                <w:b/>
                <w:bCs/>
                <w:color w:val="000000"/>
                <w:szCs w:val="24"/>
              </w:rPr>
            </w:pPr>
            <w:r w:rsidRPr="00CF17AC">
              <w:rPr>
                <w:rFonts w:cs="Arial"/>
                <w:b/>
                <w:bCs/>
                <w:color w:val="000000"/>
                <w:szCs w:val="24"/>
              </w:rPr>
              <w:t>2020-21</w:t>
            </w:r>
          </w:p>
          <w:p w:rsidR="00A4147E" w:rsidRPr="00CF17AC" w:rsidRDefault="00A4147E" w:rsidP="003D0CF8">
            <w:pPr>
              <w:autoSpaceDE w:val="0"/>
              <w:autoSpaceDN w:val="0"/>
              <w:jc w:val="right"/>
              <w:rPr>
                <w:rFonts w:cs="Arial"/>
                <w:b/>
                <w:bCs/>
                <w:color w:val="000000"/>
                <w:szCs w:val="24"/>
              </w:rPr>
            </w:pPr>
            <w:r>
              <w:rPr>
                <w:rFonts w:cs="Arial"/>
                <w:b/>
                <w:bCs/>
                <w:color w:val="000000"/>
                <w:szCs w:val="24"/>
              </w:rPr>
              <w:t>£000</w:t>
            </w:r>
          </w:p>
        </w:tc>
      </w:tr>
      <w:tr w:rsidR="00A4147E" w:rsidRPr="00CF17AC" w:rsidTr="003D0CF8">
        <w:tc>
          <w:tcPr>
            <w:tcW w:w="1020" w:type="dxa"/>
          </w:tcPr>
          <w:p w:rsidR="00A4147E" w:rsidRDefault="00A4147E" w:rsidP="003D0CF8">
            <w:pPr>
              <w:autoSpaceDE w:val="0"/>
              <w:autoSpaceDN w:val="0"/>
              <w:rPr>
                <w:rFonts w:cs="Arial"/>
                <w:color w:val="000000"/>
                <w:szCs w:val="24"/>
              </w:rPr>
            </w:pPr>
            <w:r w:rsidRPr="00CF17AC">
              <w:rPr>
                <w:rFonts w:cs="Arial"/>
                <w:color w:val="000000"/>
                <w:szCs w:val="24"/>
              </w:rPr>
              <w:t>Adults</w:t>
            </w:r>
          </w:p>
          <w:p w:rsidR="00A4147E" w:rsidRPr="00CF17AC" w:rsidRDefault="00A4147E" w:rsidP="003D0CF8">
            <w:pPr>
              <w:autoSpaceDE w:val="0"/>
              <w:autoSpaceDN w:val="0"/>
              <w:rPr>
                <w:rFonts w:cs="Arial"/>
                <w:color w:val="000000"/>
                <w:szCs w:val="24"/>
              </w:rPr>
            </w:pPr>
          </w:p>
        </w:tc>
        <w:tc>
          <w:tcPr>
            <w:tcW w:w="1198"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£32,480</w:t>
            </w:r>
          </w:p>
        </w:tc>
        <w:tc>
          <w:tcPr>
            <w:tcW w:w="1276"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£34,221</w:t>
            </w:r>
          </w:p>
        </w:tc>
        <w:tc>
          <w:tcPr>
            <w:tcW w:w="1467"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£37,95</w:t>
            </w:r>
            <w:r>
              <w:rPr>
                <w:rFonts w:cs="Arial"/>
                <w:color w:val="000000"/>
                <w:szCs w:val="24"/>
              </w:rPr>
              <w:t>9</w:t>
            </w:r>
          </w:p>
        </w:tc>
        <w:tc>
          <w:tcPr>
            <w:tcW w:w="1226"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£40,439</w:t>
            </w:r>
          </w:p>
        </w:tc>
        <w:tc>
          <w:tcPr>
            <w:tcW w:w="1418"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£43,237</w:t>
            </w:r>
          </w:p>
        </w:tc>
        <w:tc>
          <w:tcPr>
            <w:tcW w:w="1417"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£47,99</w:t>
            </w:r>
            <w:r>
              <w:rPr>
                <w:rFonts w:cs="Arial"/>
                <w:color w:val="000000"/>
                <w:szCs w:val="24"/>
              </w:rPr>
              <w:t>1</w:t>
            </w:r>
          </w:p>
        </w:tc>
        <w:tc>
          <w:tcPr>
            <w:tcW w:w="1276"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£50,17</w:t>
            </w:r>
            <w:r>
              <w:rPr>
                <w:rFonts w:cs="Arial"/>
                <w:color w:val="000000"/>
                <w:szCs w:val="24"/>
              </w:rPr>
              <w:t>8</w:t>
            </w:r>
          </w:p>
        </w:tc>
        <w:tc>
          <w:tcPr>
            <w:tcW w:w="1184"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£53,022</w:t>
            </w:r>
          </w:p>
        </w:tc>
      </w:tr>
      <w:tr w:rsidR="00A4147E" w:rsidRPr="00CF17AC" w:rsidTr="003D0CF8">
        <w:tc>
          <w:tcPr>
            <w:tcW w:w="1020" w:type="dxa"/>
          </w:tcPr>
          <w:p w:rsidR="00A4147E" w:rsidRDefault="00A4147E" w:rsidP="003D0CF8">
            <w:pPr>
              <w:autoSpaceDE w:val="0"/>
              <w:autoSpaceDN w:val="0"/>
              <w:rPr>
                <w:rFonts w:cs="Arial"/>
                <w:color w:val="000000"/>
                <w:szCs w:val="24"/>
              </w:rPr>
            </w:pPr>
            <w:proofErr w:type="spellStart"/>
            <w:r w:rsidRPr="00CF17AC">
              <w:rPr>
                <w:rFonts w:cs="Arial"/>
                <w:color w:val="000000"/>
                <w:szCs w:val="24"/>
              </w:rPr>
              <w:t>Reablement</w:t>
            </w:r>
            <w:proofErr w:type="spellEnd"/>
          </w:p>
          <w:p w:rsidR="00A4147E" w:rsidRPr="00CF17AC" w:rsidRDefault="00A4147E" w:rsidP="003D0CF8">
            <w:pPr>
              <w:autoSpaceDE w:val="0"/>
              <w:autoSpaceDN w:val="0"/>
              <w:rPr>
                <w:rFonts w:cs="Arial"/>
                <w:color w:val="000000"/>
                <w:szCs w:val="24"/>
              </w:rPr>
            </w:pPr>
          </w:p>
        </w:tc>
        <w:tc>
          <w:tcPr>
            <w:tcW w:w="1198"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£431</w:t>
            </w:r>
          </w:p>
        </w:tc>
        <w:tc>
          <w:tcPr>
            <w:tcW w:w="1276"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£504</w:t>
            </w:r>
          </w:p>
        </w:tc>
        <w:tc>
          <w:tcPr>
            <w:tcW w:w="1467"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£391</w:t>
            </w:r>
          </w:p>
        </w:tc>
        <w:tc>
          <w:tcPr>
            <w:tcW w:w="1226"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£293</w:t>
            </w:r>
          </w:p>
        </w:tc>
        <w:tc>
          <w:tcPr>
            <w:tcW w:w="1418"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£387</w:t>
            </w:r>
          </w:p>
        </w:tc>
        <w:tc>
          <w:tcPr>
            <w:tcW w:w="1417"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£426</w:t>
            </w:r>
          </w:p>
        </w:tc>
        <w:tc>
          <w:tcPr>
            <w:tcW w:w="1276"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£38</w:t>
            </w:r>
            <w:r>
              <w:rPr>
                <w:rFonts w:cs="Arial"/>
                <w:color w:val="000000"/>
                <w:szCs w:val="24"/>
              </w:rPr>
              <w:t>7</w:t>
            </w:r>
          </w:p>
        </w:tc>
        <w:tc>
          <w:tcPr>
            <w:tcW w:w="1184"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£390</w:t>
            </w:r>
          </w:p>
        </w:tc>
      </w:tr>
      <w:tr w:rsidR="00A4147E" w:rsidRPr="00CF17AC" w:rsidTr="003D0CF8">
        <w:tc>
          <w:tcPr>
            <w:tcW w:w="1020" w:type="dxa"/>
          </w:tcPr>
          <w:p w:rsidR="00A4147E" w:rsidRDefault="00A4147E" w:rsidP="003D0CF8">
            <w:pPr>
              <w:autoSpaceDE w:val="0"/>
              <w:autoSpaceDN w:val="0"/>
              <w:rPr>
                <w:rFonts w:cs="Arial"/>
                <w:color w:val="000000"/>
                <w:szCs w:val="24"/>
              </w:rPr>
            </w:pPr>
            <w:r w:rsidRPr="00CF17AC">
              <w:rPr>
                <w:rFonts w:cs="Arial"/>
                <w:color w:val="000000"/>
                <w:szCs w:val="24"/>
              </w:rPr>
              <w:t>CYAD</w:t>
            </w:r>
          </w:p>
          <w:p w:rsidR="00A4147E" w:rsidRPr="00CF17AC" w:rsidRDefault="00A4147E" w:rsidP="003D0CF8">
            <w:pPr>
              <w:autoSpaceDE w:val="0"/>
              <w:autoSpaceDN w:val="0"/>
              <w:rPr>
                <w:rFonts w:cs="Arial"/>
                <w:color w:val="000000"/>
                <w:szCs w:val="24"/>
              </w:rPr>
            </w:pPr>
          </w:p>
        </w:tc>
        <w:tc>
          <w:tcPr>
            <w:tcW w:w="1198"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£1,188</w:t>
            </w:r>
          </w:p>
        </w:tc>
        <w:tc>
          <w:tcPr>
            <w:tcW w:w="1276"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£1,452</w:t>
            </w:r>
          </w:p>
        </w:tc>
        <w:tc>
          <w:tcPr>
            <w:tcW w:w="1467"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£1,68</w:t>
            </w:r>
            <w:r>
              <w:rPr>
                <w:rFonts w:cs="Arial"/>
                <w:color w:val="000000"/>
                <w:szCs w:val="24"/>
              </w:rPr>
              <w:t>3</w:t>
            </w:r>
          </w:p>
        </w:tc>
        <w:tc>
          <w:tcPr>
            <w:tcW w:w="1226"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£1,452</w:t>
            </w:r>
          </w:p>
        </w:tc>
        <w:tc>
          <w:tcPr>
            <w:tcW w:w="1418"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£2,506</w:t>
            </w:r>
          </w:p>
        </w:tc>
        <w:tc>
          <w:tcPr>
            <w:tcW w:w="1417"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£2,61</w:t>
            </w:r>
            <w:r>
              <w:rPr>
                <w:rFonts w:cs="Arial"/>
                <w:color w:val="000000"/>
                <w:szCs w:val="24"/>
              </w:rPr>
              <w:t>5</w:t>
            </w:r>
          </w:p>
        </w:tc>
        <w:tc>
          <w:tcPr>
            <w:tcW w:w="1276"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£3,23</w:t>
            </w:r>
            <w:r>
              <w:rPr>
                <w:rFonts w:cs="Arial"/>
                <w:color w:val="000000"/>
                <w:szCs w:val="24"/>
              </w:rPr>
              <w:t>9</w:t>
            </w:r>
          </w:p>
        </w:tc>
        <w:tc>
          <w:tcPr>
            <w:tcW w:w="1184"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£3,23</w:t>
            </w:r>
            <w:r>
              <w:rPr>
                <w:rFonts w:cs="Arial"/>
                <w:color w:val="000000"/>
                <w:szCs w:val="24"/>
              </w:rPr>
              <w:t>9</w:t>
            </w:r>
          </w:p>
        </w:tc>
      </w:tr>
      <w:tr w:rsidR="00A4147E" w:rsidRPr="00CF17AC" w:rsidTr="003D0CF8">
        <w:tc>
          <w:tcPr>
            <w:tcW w:w="1020" w:type="dxa"/>
          </w:tcPr>
          <w:p w:rsidR="00A4147E" w:rsidRDefault="00A4147E" w:rsidP="003D0CF8">
            <w:pPr>
              <w:autoSpaceDE w:val="0"/>
              <w:autoSpaceDN w:val="0"/>
              <w:rPr>
                <w:rFonts w:cs="Arial"/>
                <w:b/>
                <w:bCs/>
                <w:color w:val="000000"/>
                <w:szCs w:val="24"/>
              </w:rPr>
            </w:pPr>
            <w:r w:rsidRPr="00CF17AC">
              <w:rPr>
                <w:rFonts w:cs="Arial"/>
                <w:b/>
                <w:bCs/>
                <w:color w:val="000000"/>
                <w:szCs w:val="24"/>
              </w:rPr>
              <w:t>Total</w:t>
            </w:r>
          </w:p>
          <w:p w:rsidR="00A4147E" w:rsidRPr="00CF17AC" w:rsidRDefault="00A4147E" w:rsidP="003D0CF8">
            <w:pPr>
              <w:autoSpaceDE w:val="0"/>
              <w:autoSpaceDN w:val="0"/>
              <w:rPr>
                <w:rFonts w:cs="Arial"/>
                <w:b/>
                <w:bCs/>
                <w:color w:val="000000"/>
                <w:szCs w:val="24"/>
              </w:rPr>
            </w:pPr>
          </w:p>
        </w:tc>
        <w:tc>
          <w:tcPr>
            <w:tcW w:w="1198" w:type="dxa"/>
          </w:tcPr>
          <w:p w:rsidR="00A4147E" w:rsidRPr="00CF17AC" w:rsidRDefault="00A4147E" w:rsidP="003D0CF8">
            <w:pPr>
              <w:autoSpaceDE w:val="0"/>
              <w:autoSpaceDN w:val="0"/>
              <w:jc w:val="right"/>
              <w:rPr>
                <w:rFonts w:cs="Arial"/>
                <w:b/>
                <w:bCs/>
                <w:color w:val="000000"/>
                <w:szCs w:val="24"/>
              </w:rPr>
            </w:pPr>
            <w:r w:rsidRPr="00CF17AC">
              <w:rPr>
                <w:rFonts w:cs="Arial"/>
                <w:b/>
                <w:bCs/>
                <w:color w:val="000000"/>
                <w:szCs w:val="24"/>
              </w:rPr>
              <w:t>£34,099</w:t>
            </w:r>
          </w:p>
        </w:tc>
        <w:tc>
          <w:tcPr>
            <w:tcW w:w="1276" w:type="dxa"/>
          </w:tcPr>
          <w:p w:rsidR="00A4147E" w:rsidRPr="00CF17AC" w:rsidRDefault="00A4147E" w:rsidP="003D0CF8">
            <w:pPr>
              <w:autoSpaceDE w:val="0"/>
              <w:autoSpaceDN w:val="0"/>
              <w:jc w:val="right"/>
              <w:rPr>
                <w:rFonts w:cs="Arial"/>
                <w:b/>
                <w:bCs/>
                <w:color w:val="000000"/>
                <w:szCs w:val="24"/>
              </w:rPr>
            </w:pPr>
            <w:r w:rsidRPr="00CF17AC">
              <w:rPr>
                <w:rFonts w:cs="Arial"/>
                <w:b/>
                <w:bCs/>
                <w:color w:val="000000"/>
                <w:szCs w:val="24"/>
              </w:rPr>
              <w:t>£36,177</w:t>
            </w:r>
          </w:p>
        </w:tc>
        <w:tc>
          <w:tcPr>
            <w:tcW w:w="1467" w:type="dxa"/>
          </w:tcPr>
          <w:p w:rsidR="00A4147E" w:rsidRPr="00CF17AC" w:rsidRDefault="00A4147E" w:rsidP="003D0CF8">
            <w:pPr>
              <w:autoSpaceDE w:val="0"/>
              <w:autoSpaceDN w:val="0"/>
              <w:jc w:val="right"/>
              <w:rPr>
                <w:rFonts w:cs="Arial"/>
                <w:b/>
                <w:bCs/>
                <w:color w:val="000000"/>
                <w:szCs w:val="24"/>
              </w:rPr>
            </w:pPr>
            <w:r w:rsidRPr="00CF17AC">
              <w:rPr>
                <w:rFonts w:cs="Arial"/>
                <w:b/>
                <w:bCs/>
                <w:color w:val="000000"/>
                <w:szCs w:val="24"/>
              </w:rPr>
              <w:t>£40,03</w:t>
            </w:r>
            <w:r>
              <w:rPr>
                <w:rFonts w:cs="Arial"/>
                <w:b/>
                <w:bCs/>
                <w:color w:val="000000"/>
                <w:szCs w:val="24"/>
              </w:rPr>
              <w:t>3</w:t>
            </w:r>
          </w:p>
        </w:tc>
        <w:tc>
          <w:tcPr>
            <w:tcW w:w="1226" w:type="dxa"/>
          </w:tcPr>
          <w:p w:rsidR="00A4147E" w:rsidRPr="00CF17AC" w:rsidRDefault="00A4147E" w:rsidP="003D0CF8">
            <w:pPr>
              <w:autoSpaceDE w:val="0"/>
              <w:autoSpaceDN w:val="0"/>
              <w:jc w:val="right"/>
              <w:rPr>
                <w:rFonts w:cs="Arial"/>
                <w:b/>
                <w:bCs/>
                <w:color w:val="000000"/>
                <w:szCs w:val="24"/>
              </w:rPr>
            </w:pPr>
            <w:r w:rsidRPr="00CF17AC">
              <w:rPr>
                <w:rFonts w:cs="Arial"/>
                <w:b/>
                <w:bCs/>
                <w:color w:val="000000"/>
                <w:szCs w:val="24"/>
              </w:rPr>
              <w:t>£42,184</w:t>
            </w:r>
          </w:p>
        </w:tc>
        <w:tc>
          <w:tcPr>
            <w:tcW w:w="1418" w:type="dxa"/>
          </w:tcPr>
          <w:p w:rsidR="00A4147E" w:rsidRPr="00CF17AC" w:rsidRDefault="00A4147E" w:rsidP="003D0CF8">
            <w:pPr>
              <w:autoSpaceDE w:val="0"/>
              <w:autoSpaceDN w:val="0"/>
              <w:jc w:val="right"/>
              <w:rPr>
                <w:rFonts w:cs="Arial"/>
                <w:b/>
                <w:bCs/>
                <w:color w:val="000000"/>
                <w:szCs w:val="24"/>
              </w:rPr>
            </w:pPr>
            <w:r w:rsidRPr="00CF17AC">
              <w:rPr>
                <w:rFonts w:cs="Arial"/>
                <w:b/>
                <w:bCs/>
                <w:color w:val="000000"/>
                <w:szCs w:val="24"/>
              </w:rPr>
              <w:t>£46,130</w:t>
            </w:r>
          </w:p>
        </w:tc>
        <w:tc>
          <w:tcPr>
            <w:tcW w:w="1417" w:type="dxa"/>
          </w:tcPr>
          <w:p w:rsidR="00A4147E" w:rsidRPr="00CF17AC" w:rsidRDefault="00A4147E" w:rsidP="003D0CF8">
            <w:pPr>
              <w:autoSpaceDE w:val="0"/>
              <w:autoSpaceDN w:val="0"/>
              <w:jc w:val="right"/>
              <w:rPr>
                <w:rFonts w:cs="Arial"/>
                <w:b/>
                <w:bCs/>
                <w:color w:val="000000"/>
                <w:szCs w:val="24"/>
              </w:rPr>
            </w:pPr>
            <w:r w:rsidRPr="00CF17AC">
              <w:rPr>
                <w:rFonts w:cs="Arial"/>
                <w:b/>
                <w:bCs/>
                <w:color w:val="000000"/>
                <w:szCs w:val="24"/>
              </w:rPr>
              <w:t>£51,03</w:t>
            </w:r>
            <w:r>
              <w:rPr>
                <w:rFonts w:cs="Arial"/>
                <w:b/>
                <w:bCs/>
                <w:color w:val="000000"/>
                <w:szCs w:val="24"/>
              </w:rPr>
              <w:t>2</w:t>
            </w:r>
          </w:p>
        </w:tc>
        <w:tc>
          <w:tcPr>
            <w:tcW w:w="1276" w:type="dxa"/>
          </w:tcPr>
          <w:p w:rsidR="00A4147E" w:rsidRPr="00CF17AC" w:rsidRDefault="00A4147E" w:rsidP="003D0CF8">
            <w:pPr>
              <w:autoSpaceDE w:val="0"/>
              <w:autoSpaceDN w:val="0"/>
              <w:jc w:val="right"/>
              <w:rPr>
                <w:rFonts w:cs="Arial"/>
                <w:b/>
                <w:bCs/>
                <w:color w:val="000000"/>
                <w:szCs w:val="24"/>
              </w:rPr>
            </w:pPr>
            <w:r w:rsidRPr="00CF17AC">
              <w:rPr>
                <w:rFonts w:cs="Arial"/>
                <w:b/>
                <w:bCs/>
                <w:color w:val="000000"/>
                <w:szCs w:val="24"/>
              </w:rPr>
              <w:t>£53,80</w:t>
            </w:r>
            <w:r>
              <w:rPr>
                <w:rFonts w:cs="Arial"/>
                <w:b/>
                <w:bCs/>
                <w:color w:val="000000"/>
                <w:szCs w:val="24"/>
              </w:rPr>
              <w:t>4</w:t>
            </w:r>
          </w:p>
        </w:tc>
        <w:tc>
          <w:tcPr>
            <w:tcW w:w="1184" w:type="dxa"/>
          </w:tcPr>
          <w:p w:rsidR="00A4147E" w:rsidRPr="00CF17AC" w:rsidRDefault="00A4147E" w:rsidP="003D0CF8">
            <w:pPr>
              <w:autoSpaceDE w:val="0"/>
              <w:autoSpaceDN w:val="0"/>
              <w:jc w:val="right"/>
              <w:rPr>
                <w:rFonts w:cs="Arial"/>
                <w:b/>
                <w:bCs/>
                <w:color w:val="000000"/>
                <w:szCs w:val="24"/>
              </w:rPr>
            </w:pPr>
            <w:r w:rsidRPr="00CF17AC">
              <w:rPr>
                <w:rFonts w:cs="Arial"/>
                <w:b/>
                <w:bCs/>
                <w:color w:val="000000"/>
                <w:szCs w:val="24"/>
              </w:rPr>
              <w:t>£56,65</w:t>
            </w:r>
            <w:r>
              <w:rPr>
                <w:rFonts w:cs="Arial"/>
                <w:b/>
                <w:bCs/>
                <w:color w:val="000000"/>
                <w:szCs w:val="24"/>
              </w:rPr>
              <w:t>1</w:t>
            </w:r>
          </w:p>
        </w:tc>
      </w:tr>
      <w:tr w:rsidR="00A4147E" w:rsidRPr="00CF17AC" w:rsidTr="003D0CF8">
        <w:tc>
          <w:tcPr>
            <w:tcW w:w="1020" w:type="dxa"/>
          </w:tcPr>
          <w:p w:rsidR="00A4147E" w:rsidRPr="00CF17AC" w:rsidRDefault="00A4147E" w:rsidP="003D0CF8">
            <w:pPr>
              <w:rPr>
                <w:rFonts w:cs="Arial"/>
                <w:szCs w:val="24"/>
              </w:rPr>
            </w:pPr>
          </w:p>
        </w:tc>
        <w:tc>
          <w:tcPr>
            <w:tcW w:w="1198" w:type="dxa"/>
          </w:tcPr>
          <w:p w:rsidR="00A4147E" w:rsidRPr="00CF17AC" w:rsidRDefault="00A4147E" w:rsidP="003D0CF8">
            <w:pPr>
              <w:rPr>
                <w:rFonts w:cs="Arial"/>
                <w:szCs w:val="24"/>
              </w:rPr>
            </w:pPr>
          </w:p>
        </w:tc>
        <w:tc>
          <w:tcPr>
            <w:tcW w:w="1276" w:type="dxa"/>
          </w:tcPr>
          <w:p w:rsidR="00A4147E" w:rsidRPr="00CF17AC" w:rsidRDefault="00A4147E" w:rsidP="003D0CF8">
            <w:pPr>
              <w:rPr>
                <w:rFonts w:cs="Arial"/>
                <w:szCs w:val="24"/>
              </w:rPr>
            </w:pPr>
          </w:p>
        </w:tc>
        <w:tc>
          <w:tcPr>
            <w:tcW w:w="1467" w:type="dxa"/>
          </w:tcPr>
          <w:p w:rsidR="00A4147E" w:rsidRPr="00CF17AC" w:rsidRDefault="00A4147E" w:rsidP="003D0CF8">
            <w:pPr>
              <w:rPr>
                <w:rFonts w:cs="Arial"/>
                <w:szCs w:val="24"/>
              </w:rPr>
            </w:pPr>
          </w:p>
        </w:tc>
        <w:tc>
          <w:tcPr>
            <w:tcW w:w="1226" w:type="dxa"/>
          </w:tcPr>
          <w:p w:rsidR="00A4147E" w:rsidRPr="00CF17AC" w:rsidRDefault="00A4147E" w:rsidP="003D0CF8">
            <w:pPr>
              <w:rPr>
                <w:rFonts w:cs="Arial"/>
                <w:szCs w:val="24"/>
              </w:rPr>
            </w:pPr>
          </w:p>
        </w:tc>
        <w:tc>
          <w:tcPr>
            <w:tcW w:w="1418" w:type="dxa"/>
          </w:tcPr>
          <w:p w:rsidR="00A4147E" w:rsidRPr="00CF17AC" w:rsidRDefault="00A4147E" w:rsidP="003D0CF8">
            <w:pPr>
              <w:rPr>
                <w:rFonts w:cs="Arial"/>
                <w:szCs w:val="24"/>
              </w:rPr>
            </w:pPr>
          </w:p>
        </w:tc>
        <w:tc>
          <w:tcPr>
            <w:tcW w:w="1417" w:type="dxa"/>
          </w:tcPr>
          <w:p w:rsidR="00A4147E" w:rsidRPr="00CF17AC" w:rsidRDefault="00A4147E" w:rsidP="003D0CF8">
            <w:pPr>
              <w:rPr>
                <w:rFonts w:cs="Arial"/>
                <w:szCs w:val="24"/>
              </w:rPr>
            </w:pPr>
          </w:p>
        </w:tc>
        <w:tc>
          <w:tcPr>
            <w:tcW w:w="1276" w:type="dxa"/>
          </w:tcPr>
          <w:p w:rsidR="00A4147E" w:rsidRPr="00CF17AC" w:rsidRDefault="00A4147E" w:rsidP="003D0CF8">
            <w:pPr>
              <w:rPr>
                <w:rFonts w:cs="Arial"/>
                <w:szCs w:val="24"/>
              </w:rPr>
            </w:pPr>
          </w:p>
        </w:tc>
        <w:tc>
          <w:tcPr>
            <w:tcW w:w="1184" w:type="dxa"/>
          </w:tcPr>
          <w:p w:rsidR="00A4147E" w:rsidRPr="00CF17AC" w:rsidRDefault="00A4147E" w:rsidP="003D0CF8">
            <w:pPr>
              <w:rPr>
                <w:rFonts w:cs="Arial"/>
                <w:szCs w:val="24"/>
              </w:rPr>
            </w:pPr>
          </w:p>
        </w:tc>
      </w:tr>
      <w:tr w:rsidR="00A4147E" w:rsidRPr="00CF17AC" w:rsidTr="003D0CF8">
        <w:tc>
          <w:tcPr>
            <w:tcW w:w="1020" w:type="dxa"/>
          </w:tcPr>
          <w:p w:rsidR="00A4147E" w:rsidRPr="00CF17AC" w:rsidRDefault="00A4147E" w:rsidP="003D0CF8">
            <w:pPr>
              <w:autoSpaceDE w:val="0"/>
              <w:autoSpaceDN w:val="0"/>
              <w:rPr>
                <w:rFonts w:cs="Arial"/>
                <w:color w:val="000000"/>
                <w:szCs w:val="24"/>
              </w:rPr>
            </w:pPr>
            <w:r w:rsidRPr="00CF17AC">
              <w:rPr>
                <w:rFonts w:cs="Arial"/>
                <w:color w:val="000000"/>
                <w:szCs w:val="24"/>
              </w:rPr>
              <w:t>Year on year movement</w:t>
            </w:r>
          </w:p>
        </w:tc>
        <w:tc>
          <w:tcPr>
            <w:tcW w:w="1198" w:type="dxa"/>
          </w:tcPr>
          <w:p w:rsidR="00A4147E" w:rsidRPr="00CF17AC" w:rsidRDefault="00A4147E" w:rsidP="003D0CF8">
            <w:pPr>
              <w:autoSpaceDE w:val="0"/>
              <w:autoSpaceDN w:val="0"/>
              <w:rPr>
                <w:rFonts w:cs="Arial"/>
                <w:color w:val="000000"/>
                <w:szCs w:val="24"/>
              </w:rPr>
            </w:pPr>
          </w:p>
        </w:tc>
        <w:tc>
          <w:tcPr>
            <w:tcW w:w="1276"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£2,078</w:t>
            </w:r>
          </w:p>
        </w:tc>
        <w:tc>
          <w:tcPr>
            <w:tcW w:w="1467"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£3,85</w:t>
            </w:r>
            <w:r>
              <w:rPr>
                <w:rFonts w:cs="Arial"/>
                <w:color w:val="000000"/>
                <w:szCs w:val="24"/>
              </w:rPr>
              <w:t>6</w:t>
            </w:r>
          </w:p>
        </w:tc>
        <w:tc>
          <w:tcPr>
            <w:tcW w:w="1226"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£2,15</w:t>
            </w:r>
            <w:r>
              <w:rPr>
                <w:rFonts w:cs="Arial"/>
                <w:color w:val="000000"/>
                <w:szCs w:val="24"/>
              </w:rPr>
              <w:t>1</w:t>
            </w:r>
          </w:p>
        </w:tc>
        <w:tc>
          <w:tcPr>
            <w:tcW w:w="1418"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£3,946</w:t>
            </w:r>
          </w:p>
        </w:tc>
        <w:tc>
          <w:tcPr>
            <w:tcW w:w="1417"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£4,90</w:t>
            </w:r>
            <w:r>
              <w:rPr>
                <w:rFonts w:cs="Arial"/>
                <w:color w:val="000000"/>
                <w:szCs w:val="24"/>
              </w:rPr>
              <w:t>2</w:t>
            </w:r>
          </w:p>
        </w:tc>
        <w:tc>
          <w:tcPr>
            <w:tcW w:w="1276"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£2,77</w:t>
            </w:r>
            <w:r>
              <w:rPr>
                <w:rFonts w:cs="Arial"/>
                <w:color w:val="000000"/>
                <w:szCs w:val="24"/>
              </w:rPr>
              <w:t>2</w:t>
            </w:r>
          </w:p>
        </w:tc>
        <w:tc>
          <w:tcPr>
            <w:tcW w:w="1184"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£2,847</w:t>
            </w:r>
          </w:p>
        </w:tc>
      </w:tr>
      <w:tr w:rsidR="00A4147E" w:rsidRPr="00CF17AC" w:rsidTr="003D0CF8">
        <w:tc>
          <w:tcPr>
            <w:tcW w:w="1020" w:type="dxa"/>
          </w:tcPr>
          <w:p w:rsidR="00A4147E" w:rsidRDefault="00A4147E" w:rsidP="003D0CF8">
            <w:pPr>
              <w:autoSpaceDE w:val="0"/>
              <w:autoSpaceDN w:val="0"/>
              <w:rPr>
                <w:rFonts w:cs="Arial"/>
                <w:color w:val="000000"/>
                <w:szCs w:val="24"/>
              </w:rPr>
            </w:pPr>
            <w:r w:rsidRPr="00CF17AC">
              <w:rPr>
                <w:rFonts w:cs="Arial"/>
                <w:color w:val="000000"/>
                <w:szCs w:val="24"/>
              </w:rPr>
              <w:t>Year on year %</w:t>
            </w:r>
          </w:p>
          <w:p w:rsidR="00A4147E" w:rsidRPr="00CF17AC" w:rsidRDefault="00A4147E" w:rsidP="003D0CF8">
            <w:pPr>
              <w:autoSpaceDE w:val="0"/>
              <w:autoSpaceDN w:val="0"/>
              <w:rPr>
                <w:rFonts w:cs="Arial"/>
                <w:color w:val="000000"/>
                <w:szCs w:val="24"/>
              </w:rPr>
            </w:pPr>
          </w:p>
        </w:tc>
        <w:tc>
          <w:tcPr>
            <w:tcW w:w="1198" w:type="dxa"/>
          </w:tcPr>
          <w:p w:rsidR="00A4147E" w:rsidRPr="00CF17AC" w:rsidRDefault="00A4147E" w:rsidP="003D0CF8">
            <w:pPr>
              <w:autoSpaceDE w:val="0"/>
              <w:autoSpaceDN w:val="0"/>
              <w:jc w:val="right"/>
              <w:rPr>
                <w:rFonts w:cs="Arial"/>
                <w:color w:val="000000"/>
                <w:szCs w:val="24"/>
              </w:rPr>
            </w:pPr>
          </w:p>
        </w:tc>
        <w:tc>
          <w:tcPr>
            <w:tcW w:w="1276"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6%</w:t>
            </w:r>
          </w:p>
        </w:tc>
        <w:tc>
          <w:tcPr>
            <w:tcW w:w="1467"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11%</w:t>
            </w:r>
          </w:p>
        </w:tc>
        <w:tc>
          <w:tcPr>
            <w:tcW w:w="1226"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5%</w:t>
            </w:r>
          </w:p>
        </w:tc>
        <w:tc>
          <w:tcPr>
            <w:tcW w:w="1418"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9%</w:t>
            </w:r>
          </w:p>
        </w:tc>
        <w:tc>
          <w:tcPr>
            <w:tcW w:w="1417"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11%</w:t>
            </w:r>
          </w:p>
        </w:tc>
        <w:tc>
          <w:tcPr>
            <w:tcW w:w="1276"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5%</w:t>
            </w:r>
          </w:p>
        </w:tc>
        <w:tc>
          <w:tcPr>
            <w:tcW w:w="1184" w:type="dxa"/>
          </w:tcPr>
          <w:p w:rsidR="00A4147E" w:rsidRPr="00CF17AC" w:rsidRDefault="00A4147E" w:rsidP="003D0CF8">
            <w:pPr>
              <w:autoSpaceDE w:val="0"/>
              <w:autoSpaceDN w:val="0"/>
              <w:jc w:val="right"/>
              <w:rPr>
                <w:rFonts w:cs="Arial"/>
                <w:color w:val="000000"/>
                <w:szCs w:val="24"/>
              </w:rPr>
            </w:pPr>
            <w:r w:rsidRPr="00CF17AC">
              <w:rPr>
                <w:rFonts w:cs="Arial"/>
                <w:color w:val="000000"/>
                <w:szCs w:val="24"/>
              </w:rPr>
              <w:t>5%</w:t>
            </w:r>
          </w:p>
        </w:tc>
      </w:tr>
    </w:tbl>
    <w:p w:rsidR="00A4147E" w:rsidRDefault="00A4147E" w:rsidP="00A4147E">
      <w:pPr>
        <w:pStyle w:val="Heading2"/>
      </w:pPr>
    </w:p>
    <w:p w:rsidR="002D0E57" w:rsidRDefault="002D0E57" w:rsidP="002D0E57">
      <w:pPr>
        <w:rPr>
          <w:rFonts w:cs="Arial"/>
          <w:szCs w:val="24"/>
        </w:rPr>
      </w:pPr>
      <w:r w:rsidRPr="00FF1FF2">
        <w:rPr>
          <w:rFonts w:cs="Arial"/>
          <w:szCs w:val="24"/>
        </w:rPr>
        <w:t>While expenditure continues to increase annually, the rate of increase has slowed significantly in the current year and</w:t>
      </w:r>
      <w:r>
        <w:rPr>
          <w:rFonts w:cs="Arial"/>
          <w:szCs w:val="24"/>
        </w:rPr>
        <w:t xml:space="preserve"> the expectation is that this will continue.</w:t>
      </w:r>
    </w:p>
    <w:p w:rsidR="002D0E57" w:rsidRDefault="002D0E57" w:rsidP="002D0E57">
      <w:pPr>
        <w:rPr>
          <w:rFonts w:cs="Arial"/>
          <w:szCs w:val="24"/>
        </w:rPr>
      </w:pPr>
    </w:p>
    <w:p w:rsidR="009F6C23" w:rsidRDefault="002D0E57" w:rsidP="002D0E57">
      <w:pPr>
        <w:rPr>
          <w:rFonts w:cs="Arial"/>
          <w:szCs w:val="24"/>
        </w:rPr>
      </w:pPr>
      <w:r w:rsidRPr="00DC6C79">
        <w:rPr>
          <w:rFonts w:cs="Arial"/>
          <w:szCs w:val="24"/>
        </w:rPr>
        <w:t xml:space="preserve">As part of the </w:t>
      </w:r>
      <w:r>
        <w:rPr>
          <w:rFonts w:cs="Arial"/>
          <w:szCs w:val="24"/>
        </w:rPr>
        <w:t xml:space="preserve">2019-20 </w:t>
      </w:r>
      <w:r w:rsidRPr="00DC6C79">
        <w:rPr>
          <w:rFonts w:cs="Arial"/>
          <w:szCs w:val="24"/>
        </w:rPr>
        <w:t xml:space="preserve">budget setting process, Adults expenditure was </w:t>
      </w:r>
      <w:r>
        <w:rPr>
          <w:rFonts w:cs="Arial"/>
          <w:szCs w:val="24"/>
        </w:rPr>
        <w:t xml:space="preserve">supported </w:t>
      </w:r>
      <w:r w:rsidR="005F3E41">
        <w:rPr>
          <w:rFonts w:cs="Arial"/>
          <w:szCs w:val="24"/>
        </w:rPr>
        <w:t xml:space="preserve">by </w:t>
      </w:r>
      <w:r>
        <w:rPr>
          <w:rFonts w:cs="Arial"/>
          <w:szCs w:val="24"/>
        </w:rPr>
        <w:t xml:space="preserve">growth of £5m together with the </w:t>
      </w:r>
      <w:r w:rsidRPr="00DC6C79">
        <w:rPr>
          <w:rFonts w:cs="Arial"/>
          <w:szCs w:val="24"/>
        </w:rPr>
        <w:t>newly created Adult social care reserve of £</w:t>
      </w:r>
      <w:r>
        <w:rPr>
          <w:rFonts w:cs="Arial"/>
          <w:szCs w:val="24"/>
        </w:rPr>
        <w:t>5.027m</w:t>
      </w:r>
      <w:r w:rsidRPr="00DC6C79">
        <w:rPr>
          <w:rFonts w:cs="Arial"/>
          <w:szCs w:val="24"/>
        </w:rPr>
        <w:t xml:space="preserve"> held within corporate budgets.   </w:t>
      </w:r>
      <w:r>
        <w:rPr>
          <w:rFonts w:cs="Arial"/>
          <w:szCs w:val="24"/>
        </w:rPr>
        <w:t>Whilst t</w:t>
      </w:r>
      <w:r w:rsidRPr="00FF1FF2">
        <w:rPr>
          <w:rFonts w:cs="Arial"/>
          <w:szCs w:val="24"/>
        </w:rPr>
        <w:t xml:space="preserve">he Resilient Harrow programme is not yet fully developed and implemented, it appears that projects are beginning to show positive effects in terms of </w:t>
      </w:r>
      <w:r>
        <w:rPr>
          <w:rFonts w:cs="Arial"/>
          <w:szCs w:val="24"/>
        </w:rPr>
        <w:t>managing demand.   This in turn has a favourable impact on the financial resources available and is expected to result in a lower level of funding to be drawn down from this reserve</w:t>
      </w:r>
      <w:r w:rsidRPr="00FF1FF2">
        <w:rPr>
          <w:rFonts w:cs="Arial"/>
          <w:szCs w:val="24"/>
        </w:rPr>
        <w:t xml:space="preserve">. </w:t>
      </w:r>
    </w:p>
    <w:p w:rsidR="009F6C23" w:rsidRDefault="009F6C23" w:rsidP="002D0E57">
      <w:pPr>
        <w:rPr>
          <w:rFonts w:cs="Arial"/>
          <w:szCs w:val="24"/>
        </w:rPr>
      </w:pPr>
    </w:p>
    <w:p w:rsidR="002D0E57" w:rsidRDefault="002D0E57" w:rsidP="002D0E57">
      <w:pPr>
        <w:rPr>
          <w:rFonts w:cs="Arial"/>
          <w:szCs w:val="24"/>
        </w:rPr>
      </w:pPr>
      <w:r w:rsidRPr="00FF1FF2">
        <w:rPr>
          <w:rFonts w:cs="Arial"/>
          <w:szCs w:val="24"/>
        </w:rPr>
        <w:t xml:space="preserve">The </w:t>
      </w:r>
      <w:r>
        <w:rPr>
          <w:rFonts w:cs="Arial"/>
          <w:szCs w:val="24"/>
        </w:rPr>
        <w:t xml:space="preserve">financial benefits from these </w:t>
      </w:r>
      <w:r w:rsidRPr="00FF1FF2">
        <w:rPr>
          <w:rFonts w:cs="Arial"/>
          <w:szCs w:val="24"/>
        </w:rPr>
        <w:t xml:space="preserve">projects </w:t>
      </w:r>
      <w:r>
        <w:rPr>
          <w:rFonts w:cs="Arial"/>
          <w:szCs w:val="24"/>
        </w:rPr>
        <w:t>reflect</w:t>
      </w:r>
      <w:r w:rsidRPr="00FF1FF2">
        <w:rPr>
          <w:rFonts w:cs="Arial"/>
          <w:szCs w:val="24"/>
        </w:rPr>
        <w:t xml:space="preserve"> a combination of cost saving</w:t>
      </w:r>
      <w:r>
        <w:rPr>
          <w:rFonts w:cs="Arial"/>
          <w:szCs w:val="24"/>
        </w:rPr>
        <w:t>s</w:t>
      </w:r>
      <w:r w:rsidRPr="00FF1FF2">
        <w:rPr>
          <w:rFonts w:cs="Arial"/>
          <w:szCs w:val="24"/>
        </w:rPr>
        <w:t xml:space="preserve"> and future cost avoidance.</w:t>
      </w:r>
    </w:p>
    <w:p w:rsidR="002D0E57" w:rsidRPr="00FF1FF2" w:rsidRDefault="002D0E57" w:rsidP="002D0E57">
      <w:pPr>
        <w:rPr>
          <w:rFonts w:cs="Arial"/>
          <w:szCs w:val="24"/>
        </w:rPr>
      </w:pPr>
    </w:p>
    <w:p w:rsidR="002D0E57" w:rsidRDefault="002D0E57" w:rsidP="002D0E57">
      <w:pPr>
        <w:rPr>
          <w:rFonts w:cs="Arial"/>
          <w:szCs w:val="24"/>
        </w:rPr>
      </w:pPr>
      <w:r w:rsidRPr="00FF1FF2">
        <w:rPr>
          <w:rFonts w:cs="Arial"/>
          <w:szCs w:val="24"/>
        </w:rPr>
        <w:t xml:space="preserve">Projects such as Effective </w:t>
      </w:r>
      <w:proofErr w:type="spellStart"/>
      <w:r w:rsidRPr="00FF1FF2">
        <w:rPr>
          <w:rFonts w:cs="Arial"/>
          <w:szCs w:val="24"/>
        </w:rPr>
        <w:t>Reablement</w:t>
      </w:r>
      <w:proofErr w:type="spellEnd"/>
      <w:r w:rsidRPr="00FF1FF2">
        <w:rPr>
          <w:rFonts w:cs="Arial"/>
          <w:szCs w:val="24"/>
        </w:rPr>
        <w:t xml:space="preserve"> and Three Conversations are contributing to a reduction in the levels of need for long-term care, thus reducing</w:t>
      </w:r>
      <w:r>
        <w:rPr>
          <w:rFonts w:cs="Arial"/>
          <w:szCs w:val="24"/>
        </w:rPr>
        <w:t xml:space="preserve"> ongoing care </w:t>
      </w:r>
      <w:r w:rsidRPr="00FF1FF2">
        <w:rPr>
          <w:rFonts w:cs="Arial"/>
          <w:szCs w:val="24"/>
        </w:rPr>
        <w:t xml:space="preserve">costs.  </w:t>
      </w:r>
    </w:p>
    <w:p w:rsidR="002D0E57" w:rsidRPr="00FF1FF2" w:rsidRDefault="002D0E57" w:rsidP="002D0E57">
      <w:pPr>
        <w:rPr>
          <w:rFonts w:cs="Arial"/>
          <w:szCs w:val="24"/>
        </w:rPr>
      </w:pPr>
    </w:p>
    <w:p w:rsidR="002D0E57" w:rsidRDefault="002D0E57" w:rsidP="002D0E57">
      <w:pPr>
        <w:rPr>
          <w:rFonts w:cs="Arial"/>
          <w:szCs w:val="24"/>
        </w:rPr>
      </w:pPr>
      <w:r w:rsidRPr="00FF1FF2">
        <w:rPr>
          <w:rFonts w:cs="Arial"/>
          <w:szCs w:val="24"/>
        </w:rPr>
        <w:t>It is anticipated that other projects such as Assistive Technology and various commissioning initiatives will, when fully implemented</w:t>
      </w:r>
      <w:r>
        <w:rPr>
          <w:rFonts w:cs="Arial"/>
          <w:szCs w:val="24"/>
        </w:rPr>
        <w:t>,</w:t>
      </w:r>
      <w:r w:rsidRPr="00FF1FF2">
        <w:rPr>
          <w:rFonts w:cs="Arial"/>
          <w:szCs w:val="24"/>
        </w:rPr>
        <w:t xml:space="preserve"> further contribute to </w:t>
      </w:r>
      <w:r w:rsidR="009F6C23">
        <w:rPr>
          <w:rFonts w:cs="Arial"/>
          <w:szCs w:val="24"/>
        </w:rPr>
        <w:t xml:space="preserve">the </w:t>
      </w:r>
      <w:r w:rsidRPr="00FF1FF2">
        <w:rPr>
          <w:rFonts w:cs="Arial"/>
          <w:szCs w:val="24"/>
        </w:rPr>
        <w:t>cost effective delivery of care through the development of service models which promote independence and reduce reliance on more costly residential or nursing care.</w:t>
      </w:r>
    </w:p>
    <w:p w:rsidR="002D0E57" w:rsidRPr="00FF1FF2" w:rsidRDefault="002D0E57" w:rsidP="002D0E57">
      <w:pPr>
        <w:rPr>
          <w:rFonts w:cs="Arial"/>
          <w:szCs w:val="24"/>
        </w:rPr>
      </w:pPr>
    </w:p>
    <w:p w:rsidR="002D0E57" w:rsidRDefault="002D0E57" w:rsidP="002D0E57">
      <w:pPr>
        <w:rPr>
          <w:rFonts w:cs="Arial"/>
          <w:szCs w:val="24"/>
        </w:rPr>
      </w:pPr>
      <w:r w:rsidRPr="00FF1FF2">
        <w:rPr>
          <w:rFonts w:cs="Arial"/>
          <w:szCs w:val="24"/>
        </w:rPr>
        <w:t xml:space="preserve">The programme supports the delivery of </w:t>
      </w:r>
      <w:r>
        <w:rPr>
          <w:rFonts w:cs="Arial"/>
          <w:szCs w:val="24"/>
        </w:rPr>
        <w:t>the 2019-20</w:t>
      </w:r>
      <w:r w:rsidRPr="00FF1FF2">
        <w:rPr>
          <w:rFonts w:cs="Arial"/>
          <w:szCs w:val="24"/>
        </w:rPr>
        <w:t xml:space="preserve"> agreed MTFS savings</w:t>
      </w:r>
      <w:r>
        <w:rPr>
          <w:rFonts w:cs="Arial"/>
          <w:szCs w:val="24"/>
        </w:rPr>
        <w:t xml:space="preserve"> of £1.4m which are being </w:t>
      </w:r>
      <w:r w:rsidRPr="00FF1FF2">
        <w:rPr>
          <w:rFonts w:cs="Arial"/>
          <w:szCs w:val="24"/>
        </w:rPr>
        <w:t xml:space="preserve">delivered mainly through the Harrow is Home </w:t>
      </w:r>
      <w:r>
        <w:rPr>
          <w:rFonts w:cs="Arial"/>
          <w:szCs w:val="24"/>
        </w:rPr>
        <w:t xml:space="preserve">(£400k) </w:t>
      </w:r>
      <w:r w:rsidRPr="00FF1FF2">
        <w:rPr>
          <w:rFonts w:cs="Arial"/>
          <w:szCs w:val="24"/>
        </w:rPr>
        <w:t>and Targeted reviews projects</w:t>
      </w:r>
      <w:r>
        <w:rPr>
          <w:rFonts w:cs="Arial"/>
          <w:szCs w:val="24"/>
        </w:rPr>
        <w:t xml:space="preserve"> (£1.046m)</w:t>
      </w:r>
      <w:r w:rsidRPr="00FF1FF2">
        <w:rPr>
          <w:rFonts w:cs="Arial"/>
          <w:szCs w:val="24"/>
        </w:rPr>
        <w:t>.</w:t>
      </w:r>
    </w:p>
    <w:p w:rsidR="002D0E57" w:rsidRPr="00FF1FF2" w:rsidRDefault="002D0E57" w:rsidP="002D0E57">
      <w:pPr>
        <w:rPr>
          <w:rFonts w:cs="Arial"/>
          <w:szCs w:val="24"/>
        </w:rPr>
      </w:pPr>
    </w:p>
    <w:p w:rsidR="002D0E57" w:rsidRDefault="002D0E57" w:rsidP="002D0E57">
      <w:pPr>
        <w:rPr>
          <w:rFonts w:cs="Arial"/>
          <w:szCs w:val="24"/>
        </w:rPr>
      </w:pPr>
      <w:r>
        <w:rPr>
          <w:rFonts w:cs="Arial"/>
          <w:szCs w:val="24"/>
        </w:rPr>
        <w:lastRenderedPageBreak/>
        <w:t xml:space="preserve">There are a range of projects in development which will support the delivery of services within the available </w:t>
      </w:r>
      <w:r w:rsidR="009F6C23">
        <w:rPr>
          <w:rFonts w:cs="Arial"/>
          <w:szCs w:val="24"/>
        </w:rPr>
        <w:t>financial</w:t>
      </w:r>
      <w:r>
        <w:rPr>
          <w:rFonts w:cs="Arial"/>
          <w:szCs w:val="24"/>
        </w:rPr>
        <w:t xml:space="preserve"> envelope for 2020-21 onwards and will include the following:</w:t>
      </w:r>
    </w:p>
    <w:p w:rsidR="002D0E57" w:rsidRPr="00356428" w:rsidRDefault="002D0E57" w:rsidP="002D0E57">
      <w:pPr>
        <w:pStyle w:val="ListParagraph"/>
        <w:numPr>
          <w:ilvl w:val="0"/>
          <w:numId w:val="29"/>
        </w:numPr>
        <w:rPr>
          <w:sz w:val="24"/>
          <w:szCs w:val="24"/>
        </w:rPr>
      </w:pPr>
      <w:r w:rsidRPr="00356428">
        <w:rPr>
          <w:sz w:val="24"/>
          <w:szCs w:val="24"/>
        </w:rPr>
        <w:t xml:space="preserve">Charging Review - </w:t>
      </w:r>
      <w:r w:rsidR="009F6C23">
        <w:rPr>
          <w:sz w:val="24"/>
          <w:szCs w:val="24"/>
        </w:rPr>
        <w:t xml:space="preserve"> implementation of a revised Adult Social Care charging and financial assessment policy to increase income, following </w:t>
      </w:r>
      <w:r w:rsidRPr="00356428">
        <w:rPr>
          <w:sz w:val="24"/>
          <w:szCs w:val="24"/>
        </w:rPr>
        <w:t xml:space="preserve"> consultation </w:t>
      </w:r>
      <w:r w:rsidR="009F6C23">
        <w:rPr>
          <w:sz w:val="24"/>
          <w:szCs w:val="24"/>
        </w:rPr>
        <w:t xml:space="preserve">between </w:t>
      </w:r>
      <w:r w:rsidRPr="00356428">
        <w:rPr>
          <w:sz w:val="24"/>
          <w:szCs w:val="24"/>
        </w:rPr>
        <w:t>November</w:t>
      </w:r>
      <w:r w:rsidR="009F6C23">
        <w:rPr>
          <w:sz w:val="24"/>
          <w:szCs w:val="24"/>
        </w:rPr>
        <w:t xml:space="preserve"> and December</w:t>
      </w:r>
      <w:r w:rsidR="00B944D8">
        <w:rPr>
          <w:sz w:val="24"/>
          <w:szCs w:val="24"/>
        </w:rPr>
        <w:t xml:space="preserve"> 2019</w:t>
      </w:r>
      <w:r w:rsidR="009F6C23">
        <w:rPr>
          <w:sz w:val="24"/>
          <w:szCs w:val="24"/>
        </w:rPr>
        <w:t xml:space="preserve">, </w:t>
      </w:r>
      <w:r w:rsidRPr="00356428">
        <w:rPr>
          <w:sz w:val="24"/>
          <w:szCs w:val="24"/>
        </w:rPr>
        <w:t>and</w:t>
      </w:r>
      <w:r w:rsidR="009F6C23">
        <w:rPr>
          <w:sz w:val="24"/>
          <w:szCs w:val="24"/>
        </w:rPr>
        <w:t xml:space="preserve"> subject to </w:t>
      </w:r>
      <w:r w:rsidRPr="00356428">
        <w:rPr>
          <w:sz w:val="24"/>
          <w:szCs w:val="24"/>
        </w:rPr>
        <w:t xml:space="preserve"> subsequent Cabinet decision in </w:t>
      </w:r>
      <w:r w:rsidR="009F6C23">
        <w:rPr>
          <w:sz w:val="24"/>
          <w:szCs w:val="24"/>
        </w:rPr>
        <w:t xml:space="preserve">February 2020 </w:t>
      </w:r>
    </w:p>
    <w:p w:rsidR="002D0E57" w:rsidRPr="00356428" w:rsidRDefault="002D0E57" w:rsidP="002D0E57">
      <w:pPr>
        <w:pStyle w:val="ListParagraph"/>
        <w:numPr>
          <w:ilvl w:val="0"/>
          <w:numId w:val="29"/>
        </w:numPr>
        <w:rPr>
          <w:sz w:val="24"/>
          <w:szCs w:val="24"/>
        </w:rPr>
      </w:pPr>
      <w:r w:rsidRPr="00356428">
        <w:rPr>
          <w:sz w:val="24"/>
          <w:szCs w:val="24"/>
        </w:rPr>
        <w:t>Commissioning – of services to ensure that the eff</w:t>
      </w:r>
      <w:r w:rsidR="009F6C23">
        <w:rPr>
          <w:sz w:val="24"/>
          <w:szCs w:val="24"/>
        </w:rPr>
        <w:t>ective,</w:t>
      </w:r>
      <w:r w:rsidRPr="00356428">
        <w:rPr>
          <w:sz w:val="24"/>
          <w:szCs w:val="24"/>
        </w:rPr>
        <w:t xml:space="preserve"> quality services are procured in the right time</w:t>
      </w:r>
    </w:p>
    <w:p w:rsidR="002D0E57" w:rsidRDefault="002D0E57" w:rsidP="002D0E57">
      <w:pPr>
        <w:pStyle w:val="ListParagraph"/>
        <w:numPr>
          <w:ilvl w:val="0"/>
          <w:numId w:val="29"/>
        </w:numPr>
        <w:rPr>
          <w:sz w:val="24"/>
          <w:szCs w:val="24"/>
        </w:rPr>
      </w:pPr>
      <w:r w:rsidRPr="00356428">
        <w:rPr>
          <w:sz w:val="24"/>
          <w:szCs w:val="24"/>
        </w:rPr>
        <w:t>Learning Disabilities</w:t>
      </w:r>
      <w:r w:rsidR="009F6C23">
        <w:rPr>
          <w:sz w:val="24"/>
          <w:szCs w:val="24"/>
        </w:rPr>
        <w:t xml:space="preserve"> – continue working with individuals to promote independence and reduce the costs of care packages (Harrow is Home)</w:t>
      </w:r>
    </w:p>
    <w:p w:rsidR="009F6C23" w:rsidRDefault="009F6C23" w:rsidP="002D0E57">
      <w:pPr>
        <w:pStyle w:val="ListParagraph"/>
        <w:numPr>
          <w:ilvl w:val="0"/>
          <w:numId w:val="29"/>
        </w:numPr>
        <w:rPr>
          <w:sz w:val="24"/>
          <w:szCs w:val="24"/>
        </w:rPr>
      </w:pPr>
      <w:r>
        <w:rPr>
          <w:sz w:val="24"/>
          <w:szCs w:val="24"/>
        </w:rPr>
        <w:t>Market shaping and development to address the availability and cost of services to meet the needs of Asian elders and people with mental health needs</w:t>
      </w:r>
    </w:p>
    <w:p w:rsidR="009F6C23" w:rsidRPr="00356428" w:rsidRDefault="009F6C23" w:rsidP="002D0E57">
      <w:pPr>
        <w:pStyle w:val="ListParagraph"/>
        <w:numPr>
          <w:ilvl w:val="0"/>
          <w:numId w:val="29"/>
        </w:numPr>
        <w:rPr>
          <w:sz w:val="24"/>
          <w:szCs w:val="24"/>
        </w:rPr>
      </w:pPr>
      <w:r>
        <w:rPr>
          <w:sz w:val="24"/>
          <w:szCs w:val="24"/>
        </w:rPr>
        <w:t>Subject to evaluation of the Assistive Technology pilots, increased use of such provision to reduce care package costs</w:t>
      </w:r>
    </w:p>
    <w:p w:rsidR="002D0E57" w:rsidRPr="00FF1FF2" w:rsidRDefault="002D0E57" w:rsidP="002D0E57">
      <w:pPr>
        <w:rPr>
          <w:rFonts w:cs="Arial"/>
          <w:szCs w:val="24"/>
        </w:rPr>
      </w:pPr>
    </w:p>
    <w:p w:rsidR="002D0E57" w:rsidRDefault="002D0E57" w:rsidP="002D0E57">
      <w:pPr>
        <w:rPr>
          <w:rFonts w:cs="Arial"/>
          <w:szCs w:val="24"/>
        </w:rPr>
      </w:pPr>
      <w:r w:rsidRPr="00FF1FF2">
        <w:rPr>
          <w:rFonts w:cs="Arial"/>
          <w:szCs w:val="24"/>
        </w:rPr>
        <w:t xml:space="preserve">Detailed business cases have been developed for each project which set out the outcomes to be achieved and the associated delivery costs. </w:t>
      </w:r>
    </w:p>
    <w:p w:rsidR="002D0E57" w:rsidRPr="00FF1FF2" w:rsidRDefault="002D0E57" w:rsidP="002D0E57">
      <w:pPr>
        <w:rPr>
          <w:rFonts w:cs="Arial"/>
          <w:szCs w:val="24"/>
        </w:rPr>
      </w:pPr>
    </w:p>
    <w:p w:rsidR="002D0E57" w:rsidRDefault="002D0E57" w:rsidP="002D0E57">
      <w:pPr>
        <w:rPr>
          <w:rFonts w:cs="Arial"/>
          <w:szCs w:val="24"/>
        </w:rPr>
      </w:pPr>
      <w:r w:rsidRPr="00FF1FF2">
        <w:rPr>
          <w:rFonts w:cs="Arial"/>
          <w:szCs w:val="24"/>
        </w:rPr>
        <w:t xml:space="preserve">A budget of </w:t>
      </w:r>
      <w:r>
        <w:rPr>
          <w:rFonts w:cs="Arial"/>
          <w:szCs w:val="24"/>
        </w:rPr>
        <w:t xml:space="preserve">just under </w:t>
      </w:r>
      <w:r w:rsidRPr="00FF1FF2">
        <w:rPr>
          <w:rFonts w:cs="Arial"/>
          <w:szCs w:val="24"/>
        </w:rPr>
        <w:t>£1.</w:t>
      </w:r>
      <w:r>
        <w:rPr>
          <w:rFonts w:cs="Arial"/>
          <w:szCs w:val="24"/>
        </w:rPr>
        <w:t>6</w:t>
      </w:r>
      <w:r w:rsidRPr="00FF1FF2">
        <w:rPr>
          <w:rFonts w:cs="Arial"/>
          <w:szCs w:val="24"/>
        </w:rPr>
        <w:t xml:space="preserve">m </w:t>
      </w:r>
      <w:r w:rsidR="009F6C23">
        <w:rPr>
          <w:rFonts w:cs="Arial"/>
          <w:szCs w:val="24"/>
        </w:rPr>
        <w:t xml:space="preserve">in 2019-20 </w:t>
      </w:r>
      <w:r w:rsidRPr="00FF1FF2">
        <w:rPr>
          <w:rFonts w:cs="Arial"/>
          <w:szCs w:val="24"/>
        </w:rPr>
        <w:t xml:space="preserve">has been </w:t>
      </w:r>
      <w:r>
        <w:rPr>
          <w:rFonts w:cs="Arial"/>
          <w:szCs w:val="24"/>
        </w:rPr>
        <w:t>set aside</w:t>
      </w:r>
      <w:r w:rsidRPr="00FF1FF2">
        <w:rPr>
          <w:rFonts w:cs="Arial"/>
          <w:szCs w:val="24"/>
        </w:rPr>
        <w:t xml:space="preserve"> to support delivery of the projects</w:t>
      </w:r>
      <w:r>
        <w:rPr>
          <w:rFonts w:cs="Arial"/>
          <w:szCs w:val="24"/>
        </w:rPr>
        <w:t>, and is funded from savings and contributions from the corporate transformation budget</w:t>
      </w:r>
      <w:r w:rsidRPr="00FF1FF2">
        <w:rPr>
          <w:rFonts w:cs="Arial"/>
          <w:szCs w:val="24"/>
        </w:rPr>
        <w:t xml:space="preserve">. These resources have been used to engage specialist interim support or to backfill staff released to work on the projects. </w:t>
      </w:r>
    </w:p>
    <w:p w:rsidR="002D0E57" w:rsidRDefault="002D0E57" w:rsidP="002D0E57">
      <w:pPr>
        <w:rPr>
          <w:rFonts w:cs="Arial"/>
          <w:szCs w:val="24"/>
        </w:rPr>
      </w:pPr>
    </w:p>
    <w:p w:rsidR="002D0E57" w:rsidRPr="00FF1FF2" w:rsidRDefault="002D0E57" w:rsidP="002D0E57">
      <w:pPr>
        <w:rPr>
          <w:rFonts w:cs="Arial"/>
          <w:szCs w:val="24"/>
        </w:rPr>
      </w:pPr>
      <w:r w:rsidRPr="00FF1FF2">
        <w:rPr>
          <w:rFonts w:cs="Arial"/>
          <w:szCs w:val="24"/>
        </w:rPr>
        <w:t>Spend is monitored monthly through the Programme Board and will be kept under review. As the programme is established and the projects are embedded in practice the level of expert support and associated costs will diminish</w:t>
      </w:r>
      <w:r>
        <w:rPr>
          <w:rFonts w:cs="Arial"/>
          <w:szCs w:val="24"/>
        </w:rPr>
        <w:t xml:space="preserve"> in future years</w:t>
      </w:r>
      <w:r w:rsidRPr="00FF1FF2">
        <w:rPr>
          <w:rFonts w:cs="Arial"/>
          <w:szCs w:val="24"/>
        </w:rPr>
        <w:t xml:space="preserve">. </w:t>
      </w:r>
      <w:r w:rsidR="00663218">
        <w:rPr>
          <w:rFonts w:cs="Arial"/>
          <w:szCs w:val="24"/>
        </w:rPr>
        <w:t>For 2020-21, corporate resources of £190K are planned for specific projects while</w:t>
      </w:r>
      <w:r w:rsidR="009C561D">
        <w:rPr>
          <w:rFonts w:cs="Arial"/>
          <w:szCs w:val="24"/>
        </w:rPr>
        <w:t xml:space="preserve"> £400K of Adults transformation funding will be used to consolidate the provision of safe and effective services.</w:t>
      </w:r>
    </w:p>
    <w:p w:rsidR="00A4147E" w:rsidRDefault="00A4147E" w:rsidP="00A4147E">
      <w:pPr>
        <w:pStyle w:val="Heading2"/>
      </w:pPr>
    </w:p>
    <w:p w:rsidR="00D36B5E" w:rsidRDefault="00D36B5E" w:rsidP="00D36B5E">
      <w:pPr>
        <w:pStyle w:val="Heading2"/>
      </w:pPr>
      <w:r>
        <w:t xml:space="preserve">Legal </w:t>
      </w:r>
      <w:r>
        <w:t>Implications</w:t>
      </w:r>
    </w:p>
    <w:p w:rsidR="00D63F10" w:rsidRDefault="00D63F10">
      <w:pPr>
        <w:pStyle w:val="Heading2"/>
      </w:pPr>
    </w:p>
    <w:p w:rsidR="004838DE" w:rsidRDefault="004838DE" w:rsidP="004838DE">
      <w:pPr>
        <w:rPr>
          <w:rFonts w:cs="Arial"/>
        </w:rPr>
      </w:pPr>
      <w:r w:rsidRPr="004838DE">
        <w:rPr>
          <w:rFonts w:cs="Arial"/>
        </w:rPr>
        <w:t>The Resilient Harrow programme addresses the Council’s general dut</w:t>
      </w:r>
      <w:r>
        <w:rPr>
          <w:rFonts w:cs="Arial"/>
        </w:rPr>
        <w:t xml:space="preserve">ies under the Care Act 2014 to </w:t>
      </w:r>
      <w:r w:rsidRPr="004838DE">
        <w:rPr>
          <w:rFonts w:cs="Arial"/>
        </w:rPr>
        <w:t xml:space="preserve">promote wellbeing and prevent and reduce care needs arising and to promote </w:t>
      </w:r>
      <w:proofErr w:type="gramStart"/>
      <w:r w:rsidRPr="004838DE">
        <w:rPr>
          <w:rFonts w:cs="Arial"/>
        </w:rPr>
        <w:t>independence  .</w:t>
      </w:r>
      <w:proofErr w:type="gramEnd"/>
      <w:r w:rsidRPr="004838DE">
        <w:rPr>
          <w:rFonts w:cs="Arial"/>
        </w:rPr>
        <w:t xml:space="preserve"> </w:t>
      </w:r>
      <w:bookmarkStart w:id="0" w:name="_MailEndCompose"/>
      <w:r w:rsidRPr="004838DE">
        <w:rPr>
          <w:rFonts w:cs="Arial"/>
        </w:rPr>
        <w:t>Initiatives such as Three Conversations will maximise the involvement of the service user in the assessment of their care needs and other initiatives will improve choice of service provision</w:t>
      </w:r>
      <w:r>
        <w:rPr>
          <w:rFonts w:cs="Arial"/>
        </w:rPr>
        <w:t>.</w:t>
      </w:r>
      <w:r w:rsidRPr="004838DE">
        <w:rPr>
          <w:rFonts w:cs="Arial"/>
        </w:rPr>
        <w:t xml:space="preserve"> </w:t>
      </w:r>
      <w:bookmarkEnd w:id="0"/>
    </w:p>
    <w:p w:rsidR="004838DE" w:rsidRPr="004838DE" w:rsidRDefault="004838DE" w:rsidP="004838DE">
      <w:pPr>
        <w:rPr>
          <w:rFonts w:cs="Arial"/>
        </w:rPr>
      </w:pPr>
    </w:p>
    <w:p w:rsidR="004838DE" w:rsidRPr="004838DE" w:rsidRDefault="004838DE" w:rsidP="004838DE">
      <w:r w:rsidRPr="004838DE">
        <w:rPr>
          <w:rFonts w:cs="Arial"/>
        </w:rPr>
        <w:t xml:space="preserve"> Where changes are proposed to existing care </w:t>
      </w:r>
      <w:proofErr w:type="gramStart"/>
      <w:r w:rsidRPr="004838DE">
        <w:rPr>
          <w:rFonts w:cs="Arial"/>
        </w:rPr>
        <w:t>arrangements ,</w:t>
      </w:r>
      <w:proofErr w:type="gramEnd"/>
      <w:r w:rsidRPr="004838DE">
        <w:rPr>
          <w:rFonts w:cs="Arial"/>
        </w:rPr>
        <w:t xml:space="preserve">  service users’ care plans  will be individually  reviewed and agreed .Consultation will be undertaken in respect to changes proposed to charging for care</w:t>
      </w:r>
      <w:r>
        <w:rPr>
          <w:rFonts w:cs="Arial"/>
        </w:rPr>
        <w:t>.</w:t>
      </w:r>
    </w:p>
    <w:p w:rsidR="00D36B5E" w:rsidRPr="00D36B5E" w:rsidRDefault="00D36B5E" w:rsidP="00D36B5E"/>
    <w:p w:rsidR="00D36B5E" w:rsidRPr="00D36B5E" w:rsidRDefault="00D36B5E" w:rsidP="00D36B5E"/>
    <w:p w:rsidR="005441BD" w:rsidRDefault="005441BD">
      <w:pPr>
        <w:pStyle w:val="Heading2"/>
      </w:pPr>
      <w:r>
        <w:t>Performance Issues</w:t>
      </w:r>
    </w:p>
    <w:p w:rsidR="00915FD6" w:rsidRDefault="00915FD6">
      <w:pPr>
        <w:pStyle w:val="Heading1"/>
        <w:rPr>
          <w:rFonts w:ascii="Arial" w:hAnsi="Arial"/>
          <w:sz w:val="24"/>
          <w:szCs w:val="24"/>
        </w:rPr>
      </w:pPr>
    </w:p>
    <w:p w:rsidR="00830C97" w:rsidRDefault="00830C97" w:rsidP="00830C97">
      <w:r>
        <w:t>Each of the projects has clearly defined outcomes with measured developed to assess progress. These are reviewed at project group meetings and reported to the Programme Board as appropriate.</w:t>
      </w:r>
    </w:p>
    <w:p w:rsidR="00830C97" w:rsidRDefault="00830C97" w:rsidP="00830C97"/>
    <w:p w:rsidR="00830C97" w:rsidRDefault="00830C97" w:rsidP="00830C97">
      <w:r>
        <w:t>These performance measures are also included in the wider performance monitoring arrangements across Adult Social Care services.</w:t>
      </w:r>
    </w:p>
    <w:p w:rsidR="00830C97" w:rsidRDefault="00830C97" w:rsidP="00830C97"/>
    <w:p w:rsidR="00830C97" w:rsidRDefault="00830C97" w:rsidP="00830C97">
      <w:r>
        <w:t>While many of the indicators are specific to the projects, there are some national indicators to which the projects contribute</w:t>
      </w:r>
      <w:r w:rsidR="00F26C3D">
        <w:t>, such as those relating to hospital discharges. The table below shows some of the key performance indicators for projects within the programme including targets and progress up to the end of October 2019.</w:t>
      </w:r>
    </w:p>
    <w:p w:rsidR="004E12ED" w:rsidRDefault="004E12ED" w:rsidP="00830C97"/>
    <w:p w:rsidR="004E12ED" w:rsidRDefault="004E12ED" w:rsidP="00830C97"/>
    <w:p w:rsidR="004E12ED" w:rsidRDefault="004E12ED" w:rsidP="00830C97"/>
    <w:p w:rsidR="00830C97" w:rsidRDefault="00830C97" w:rsidP="00830C97"/>
    <w:tbl>
      <w:tblPr>
        <w:tblStyle w:val="TableGrid"/>
        <w:tblW w:w="9241" w:type="dxa"/>
        <w:tblInd w:w="-200" w:type="dxa"/>
        <w:tblLayout w:type="fixed"/>
        <w:tblLook w:val="04A0" w:firstRow="1" w:lastRow="0" w:firstColumn="1" w:lastColumn="0" w:noHBand="0" w:noVBand="1"/>
      </w:tblPr>
      <w:tblGrid>
        <w:gridCol w:w="1702"/>
        <w:gridCol w:w="4279"/>
        <w:gridCol w:w="1134"/>
        <w:gridCol w:w="1134"/>
        <w:gridCol w:w="992"/>
      </w:tblGrid>
      <w:tr w:rsidR="004E12ED" w:rsidRPr="00434AD4" w:rsidTr="00BE1502">
        <w:tc>
          <w:tcPr>
            <w:tcW w:w="1702" w:type="dxa"/>
          </w:tcPr>
          <w:p w:rsidR="004E12ED" w:rsidRPr="00434AD4" w:rsidRDefault="004E12ED" w:rsidP="00BE1502">
            <w:pPr>
              <w:rPr>
                <w:rFonts w:cs="Arial"/>
                <w:b/>
                <w:sz w:val="22"/>
                <w:szCs w:val="22"/>
              </w:rPr>
            </w:pPr>
            <w:r w:rsidRPr="00434AD4">
              <w:rPr>
                <w:rFonts w:cs="Arial"/>
                <w:b/>
                <w:sz w:val="22"/>
                <w:szCs w:val="22"/>
              </w:rPr>
              <w:t>Project</w:t>
            </w:r>
          </w:p>
        </w:tc>
        <w:tc>
          <w:tcPr>
            <w:tcW w:w="4279" w:type="dxa"/>
          </w:tcPr>
          <w:p w:rsidR="004E12ED" w:rsidRPr="00434AD4" w:rsidRDefault="004E12ED" w:rsidP="00BE1502">
            <w:pPr>
              <w:rPr>
                <w:rFonts w:cs="Arial"/>
                <w:b/>
                <w:sz w:val="22"/>
                <w:szCs w:val="22"/>
              </w:rPr>
            </w:pPr>
            <w:r w:rsidRPr="00434AD4">
              <w:rPr>
                <w:rFonts w:cs="Arial"/>
                <w:b/>
                <w:sz w:val="22"/>
                <w:szCs w:val="22"/>
              </w:rPr>
              <w:t>Indicator</w:t>
            </w:r>
          </w:p>
        </w:tc>
        <w:tc>
          <w:tcPr>
            <w:tcW w:w="1134" w:type="dxa"/>
          </w:tcPr>
          <w:p w:rsidR="004E12ED" w:rsidRPr="00434AD4" w:rsidRDefault="004E12ED" w:rsidP="00BE1502">
            <w:pPr>
              <w:jc w:val="center"/>
              <w:rPr>
                <w:rFonts w:cs="Arial"/>
                <w:b/>
                <w:sz w:val="22"/>
                <w:szCs w:val="22"/>
              </w:rPr>
            </w:pPr>
            <w:r w:rsidRPr="00434AD4">
              <w:rPr>
                <w:rFonts w:cs="Arial"/>
                <w:b/>
                <w:sz w:val="22"/>
                <w:szCs w:val="22"/>
              </w:rPr>
              <w:t>Baseline</w:t>
            </w:r>
          </w:p>
          <w:p w:rsidR="004E12ED" w:rsidRDefault="004E12ED" w:rsidP="00BE1502">
            <w:pPr>
              <w:jc w:val="center"/>
              <w:rPr>
                <w:rFonts w:cs="Arial"/>
                <w:b/>
                <w:sz w:val="22"/>
                <w:szCs w:val="22"/>
              </w:rPr>
            </w:pPr>
            <w:r w:rsidRPr="00434AD4">
              <w:rPr>
                <w:rFonts w:cs="Arial"/>
                <w:b/>
                <w:sz w:val="22"/>
                <w:szCs w:val="22"/>
              </w:rPr>
              <w:t>Mar ‘19</w:t>
            </w:r>
          </w:p>
          <w:p w:rsidR="004E12ED" w:rsidRPr="00002B09" w:rsidRDefault="004E12ED" w:rsidP="00BE1502">
            <w:pPr>
              <w:jc w:val="center"/>
              <w:rPr>
                <w:rFonts w:cs="Arial"/>
                <w:b/>
                <w:sz w:val="18"/>
                <w:szCs w:val="18"/>
              </w:rPr>
            </w:pPr>
            <w:r w:rsidRPr="00002B09">
              <w:rPr>
                <w:rFonts w:cs="Arial"/>
                <w:b/>
                <w:sz w:val="18"/>
                <w:szCs w:val="18"/>
              </w:rPr>
              <w:t>Pre-Transform</w:t>
            </w:r>
            <w:r>
              <w:rPr>
                <w:rFonts w:cs="Arial"/>
                <w:b/>
                <w:sz w:val="18"/>
                <w:szCs w:val="18"/>
              </w:rPr>
              <w:t xml:space="preserve">- </w:t>
            </w:r>
            <w:proofErr w:type="spellStart"/>
            <w:r w:rsidRPr="00002B09">
              <w:rPr>
                <w:rFonts w:cs="Arial"/>
                <w:b/>
                <w:sz w:val="18"/>
                <w:szCs w:val="18"/>
              </w:rPr>
              <w:t>ation</w:t>
            </w:r>
            <w:proofErr w:type="spellEnd"/>
          </w:p>
        </w:tc>
        <w:tc>
          <w:tcPr>
            <w:tcW w:w="1134" w:type="dxa"/>
          </w:tcPr>
          <w:p w:rsidR="004E12ED" w:rsidRPr="00434AD4" w:rsidRDefault="004E12ED" w:rsidP="00BE1502">
            <w:pPr>
              <w:jc w:val="center"/>
              <w:rPr>
                <w:rFonts w:cs="Arial"/>
                <w:b/>
                <w:sz w:val="22"/>
                <w:szCs w:val="22"/>
              </w:rPr>
            </w:pPr>
            <w:r w:rsidRPr="00434AD4">
              <w:rPr>
                <w:rFonts w:cs="Arial"/>
                <w:b/>
                <w:sz w:val="22"/>
                <w:szCs w:val="22"/>
              </w:rPr>
              <w:t>Target</w:t>
            </w:r>
          </w:p>
        </w:tc>
        <w:tc>
          <w:tcPr>
            <w:tcW w:w="992" w:type="dxa"/>
          </w:tcPr>
          <w:p w:rsidR="004E12ED" w:rsidRPr="00434AD4" w:rsidRDefault="004E12ED" w:rsidP="00BE1502">
            <w:pPr>
              <w:jc w:val="center"/>
              <w:rPr>
                <w:rFonts w:cs="Arial"/>
                <w:b/>
                <w:sz w:val="22"/>
                <w:szCs w:val="22"/>
              </w:rPr>
            </w:pPr>
            <w:r w:rsidRPr="00434AD4">
              <w:rPr>
                <w:rFonts w:cs="Arial"/>
                <w:b/>
                <w:sz w:val="22"/>
                <w:szCs w:val="22"/>
              </w:rPr>
              <w:t>Oct ‘19</w:t>
            </w:r>
          </w:p>
        </w:tc>
      </w:tr>
      <w:tr w:rsidR="004E12ED" w:rsidRPr="001766D4" w:rsidTr="00BE1502">
        <w:tc>
          <w:tcPr>
            <w:tcW w:w="1702" w:type="dxa"/>
          </w:tcPr>
          <w:p w:rsidR="004E12ED" w:rsidRPr="001766D4" w:rsidRDefault="004E12ED" w:rsidP="00BE1502">
            <w:pPr>
              <w:rPr>
                <w:rFonts w:cs="Arial"/>
                <w:sz w:val="22"/>
                <w:szCs w:val="22"/>
              </w:rPr>
            </w:pPr>
            <w:r w:rsidRPr="001766D4">
              <w:rPr>
                <w:rFonts w:cs="Arial"/>
                <w:sz w:val="22"/>
                <w:szCs w:val="22"/>
              </w:rPr>
              <w:t>3 Conversations</w:t>
            </w:r>
          </w:p>
        </w:tc>
        <w:tc>
          <w:tcPr>
            <w:tcW w:w="4279" w:type="dxa"/>
          </w:tcPr>
          <w:p w:rsidR="004E12ED" w:rsidRPr="001766D4" w:rsidRDefault="004E12ED" w:rsidP="00BE1502">
            <w:pPr>
              <w:rPr>
                <w:rFonts w:cs="Arial"/>
                <w:sz w:val="22"/>
                <w:szCs w:val="22"/>
              </w:rPr>
            </w:pPr>
            <w:r w:rsidRPr="001766D4">
              <w:rPr>
                <w:rFonts w:cs="Arial"/>
                <w:sz w:val="22"/>
                <w:szCs w:val="22"/>
              </w:rPr>
              <w:t>No. of new long term service users per week (community route)</w:t>
            </w:r>
          </w:p>
        </w:tc>
        <w:tc>
          <w:tcPr>
            <w:tcW w:w="1134" w:type="dxa"/>
          </w:tcPr>
          <w:p w:rsidR="004E12ED" w:rsidRPr="001766D4" w:rsidRDefault="004E12ED" w:rsidP="00BE1502">
            <w:pPr>
              <w:jc w:val="center"/>
              <w:rPr>
                <w:rFonts w:cs="Arial"/>
                <w:sz w:val="22"/>
                <w:szCs w:val="22"/>
              </w:rPr>
            </w:pPr>
            <w:r w:rsidRPr="001766D4">
              <w:rPr>
                <w:rFonts w:cs="Arial"/>
                <w:sz w:val="22"/>
                <w:szCs w:val="22"/>
              </w:rPr>
              <w:t>7.2</w:t>
            </w:r>
          </w:p>
        </w:tc>
        <w:tc>
          <w:tcPr>
            <w:tcW w:w="1134" w:type="dxa"/>
          </w:tcPr>
          <w:p w:rsidR="004E12ED" w:rsidRPr="001766D4" w:rsidRDefault="004E12ED" w:rsidP="00BE1502">
            <w:pPr>
              <w:jc w:val="center"/>
              <w:rPr>
                <w:rFonts w:cs="Arial"/>
                <w:sz w:val="22"/>
                <w:szCs w:val="22"/>
              </w:rPr>
            </w:pPr>
            <w:r w:rsidRPr="001766D4">
              <w:rPr>
                <w:rFonts w:cs="Arial"/>
                <w:sz w:val="22"/>
                <w:szCs w:val="22"/>
              </w:rPr>
              <w:t>Maintain or Lower</w:t>
            </w:r>
          </w:p>
        </w:tc>
        <w:tc>
          <w:tcPr>
            <w:tcW w:w="992" w:type="dxa"/>
          </w:tcPr>
          <w:p w:rsidR="004E12ED" w:rsidRPr="001766D4" w:rsidRDefault="004E12ED" w:rsidP="00BE1502">
            <w:pPr>
              <w:jc w:val="center"/>
              <w:rPr>
                <w:rFonts w:cs="Arial"/>
                <w:sz w:val="22"/>
                <w:szCs w:val="22"/>
              </w:rPr>
            </w:pPr>
            <w:r>
              <w:rPr>
                <w:rFonts w:cs="Arial"/>
                <w:sz w:val="22"/>
                <w:szCs w:val="22"/>
              </w:rPr>
              <w:t>5.7</w:t>
            </w:r>
          </w:p>
        </w:tc>
      </w:tr>
      <w:tr w:rsidR="004E12ED" w:rsidRPr="001766D4" w:rsidTr="00BE1502">
        <w:tc>
          <w:tcPr>
            <w:tcW w:w="1702" w:type="dxa"/>
          </w:tcPr>
          <w:p w:rsidR="004E12ED" w:rsidRPr="001766D4" w:rsidRDefault="004E12ED" w:rsidP="00BE1502">
            <w:pPr>
              <w:rPr>
                <w:rFonts w:cs="Arial"/>
                <w:sz w:val="22"/>
                <w:szCs w:val="22"/>
              </w:rPr>
            </w:pPr>
            <w:r w:rsidRPr="001766D4">
              <w:rPr>
                <w:rFonts w:cs="Arial"/>
                <w:sz w:val="22"/>
                <w:szCs w:val="22"/>
              </w:rPr>
              <w:t>Hospital Discharges</w:t>
            </w:r>
          </w:p>
        </w:tc>
        <w:tc>
          <w:tcPr>
            <w:tcW w:w="4279" w:type="dxa"/>
          </w:tcPr>
          <w:p w:rsidR="004E12ED" w:rsidRPr="001766D4" w:rsidRDefault="004E12ED" w:rsidP="00BE1502">
            <w:pPr>
              <w:rPr>
                <w:rFonts w:cs="Arial"/>
                <w:sz w:val="22"/>
                <w:szCs w:val="22"/>
              </w:rPr>
            </w:pPr>
            <w:proofErr w:type="spellStart"/>
            <w:r w:rsidRPr="001766D4">
              <w:rPr>
                <w:rFonts w:cs="Arial"/>
                <w:sz w:val="22"/>
                <w:szCs w:val="22"/>
              </w:rPr>
              <w:t>DToC</w:t>
            </w:r>
            <w:proofErr w:type="spellEnd"/>
            <w:r w:rsidRPr="001766D4">
              <w:rPr>
                <w:rFonts w:cs="Arial"/>
                <w:sz w:val="22"/>
                <w:szCs w:val="22"/>
              </w:rPr>
              <w:t xml:space="preserve"> All causes</w:t>
            </w:r>
          </w:p>
        </w:tc>
        <w:tc>
          <w:tcPr>
            <w:tcW w:w="1134" w:type="dxa"/>
          </w:tcPr>
          <w:p w:rsidR="004E12ED" w:rsidRPr="001766D4" w:rsidRDefault="004E12ED" w:rsidP="00BE1502">
            <w:pPr>
              <w:jc w:val="center"/>
              <w:rPr>
                <w:rFonts w:cs="Arial"/>
                <w:sz w:val="22"/>
                <w:szCs w:val="22"/>
              </w:rPr>
            </w:pPr>
            <w:r w:rsidRPr="001766D4">
              <w:rPr>
                <w:rFonts w:cs="Arial"/>
                <w:sz w:val="22"/>
                <w:szCs w:val="22"/>
              </w:rPr>
              <w:t>7.8</w:t>
            </w:r>
          </w:p>
        </w:tc>
        <w:tc>
          <w:tcPr>
            <w:tcW w:w="1134" w:type="dxa"/>
          </w:tcPr>
          <w:p w:rsidR="004E12ED" w:rsidRPr="001766D4" w:rsidRDefault="004E12ED" w:rsidP="00BE1502">
            <w:pPr>
              <w:jc w:val="center"/>
              <w:rPr>
                <w:rFonts w:cs="Arial"/>
                <w:sz w:val="22"/>
                <w:szCs w:val="22"/>
              </w:rPr>
            </w:pPr>
            <w:r w:rsidRPr="001766D4">
              <w:rPr>
                <w:rFonts w:cs="Arial"/>
                <w:sz w:val="22"/>
                <w:szCs w:val="22"/>
              </w:rPr>
              <w:t>Lower</w:t>
            </w:r>
          </w:p>
        </w:tc>
        <w:tc>
          <w:tcPr>
            <w:tcW w:w="992" w:type="dxa"/>
          </w:tcPr>
          <w:p w:rsidR="004E12ED" w:rsidRPr="001766D4" w:rsidRDefault="004E12ED" w:rsidP="00BE1502">
            <w:pPr>
              <w:jc w:val="center"/>
              <w:rPr>
                <w:rFonts w:cs="Arial"/>
                <w:sz w:val="22"/>
                <w:szCs w:val="22"/>
              </w:rPr>
            </w:pPr>
            <w:r w:rsidRPr="001766D4">
              <w:rPr>
                <w:rFonts w:cs="Arial"/>
                <w:sz w:val="22"/>
                <w:szCs w:val="22"/>
              </w:rPr>
              <w:t>5.5</w:t>
            </w:r>
          </w:p>
        </w:tc>
      </w:tr>
      <w:tr w:rsidR="004E12ED" w:rsidRPr="001766D4" w:rsidTr="00BE1502">
        <w:tc>
          <w:tcPr>
            <w:tcW w:w="1702" w:type="dxa"/>
          </w:tcPr>
          <w:p w:rsidR="004E12ED" w:rsidRPr="001766D4" w:rsidRDefault="004E12ED" w:rsidP="00BE1502">
            <w:pPr>
              <w:rPr>
                <w:rFonts w:cs="Arial"/>
                <w:sz w:val="22"/>
                <w:szCs w:val="22"/>
              </w:rPr>
            </w:pPr>
            <w:r w:rsidRPr="001766D4">
              <w:rPr>
                <w:rFonts w:cs="Arial"/>
                <w:sz w:val="22"/>
                <w:szCs w:val="22"/>
              </w:rPr>
              <w:t>Hospital Discharges</w:t>
            </w:r>
          </w:p>
        </w:tc>
        <w:tc>
          <w:tcPr>
            <w:tcW w:w="4279" w:type="dxa"/>
          </w:tcPr>
          <w:p w:rsidR="004E12ED" w:rsidRPr="001766D4" w:rsidRDefault="004E12ED" w:rsidP="00BE1502">
            <w:pPr>
              <w:rPr>
                <w:rFonts w:cs="Arial"/>
                <w:sz w:val="22"/>
                <w:szCs w:val="22"/>
              </w:rPr>
            </w:pPr>
            <w:proofErr w:type="spellStart"/>
            <w:r w:rsidRPr="001766D4">
              <w:rPr>
                <w:rFonts w:cs="Arial"/>
                <w:sz w:val="22"/>
                <w:szCs w:val="22"/>
              </w:rPr>
              <w:t>DToC</w:t>
            </w:r>
            <w:proofErr w:type="spellEnd"/>
            <w:r w:rsidRPr="001766D4">
              <w:rPr>
                <w:rFonts w:cs="Arial"/>
                <w:sz w:val="22"/>
                <w:szCs w:val="22"/>
              </w:rPr>
              <w:t xml:space="preserve"> Social Care cause</w:t>
            </w:r>
          </w:p>
        </w:tc>
        <w:tc>
          <w:tcPr>
            <w:tcW w:w="1134" w:type="dxa"/>
          </w:tcPr>
          <w:p w:rsidR="004E12ED" w:rsidRPr="001766D4" w:rsidRDefault="004E12ED" w:rsidP="00BE1502">
            <w:pPr>
              <w:jc w:val="center"/>
              <w:rPr>
                <w:rFonts w:cs="Arial"/>
                <w:sz w:val="22"/>
                <w:szCs w:val="22"/>
              </w:rPr>
            </w:pPr>
            <w:r w:rsidRPr="001766D4">
              <w:rPr>
                <w:rFonts w:cs="Arial"/>
                <w:sz w:val="22"/>
                <w:szCs w:val="22"/>
              </w:rPr>
              <w:t>2.1</w:t>
            </w:r>
          </w:p>
        </w:tc>
        <w:tc>
          <w:tcPr>
            <w:tcW w:w="1134" w:type="dxa"/>
          </w:tcPr>
          <w:p w:rsidR="004E12ED" w:rsidRPr="001766D4" w:rsidRDefault="004E12ED" w:rsidP="00BE1502">
            <w:pPr>
              <w:jc w:val="center"/>
              <w:rPr>
                <w:rFonts w:cs="Arial"/>
                <w:sz w:val="22"/>
                <w:szCs w:val="22"/>
              </w:rPr>
            </w:pPr>
            <w:r w:rsidRPr="001766D4">
              <w:rPr>
                <w:rFonts w:cs="Arial"/>
                <w:sz w:val="22"/>
                <w:szCs w:val="22"/>
              </w:rPr>
              <w:t>Lower</w:t>
            </w:r>
          </w:p>
        </w:tc>
        <w:tc>
          <w:tcPr>
            <w:tcW w:w="992" w:type="dxa"/>
          </w:tcPr>
          <w:p w:rsidR="004E12ED" w:rsidRPr="001766D4" w:rsidRDefault="004E12ED" w:rsidP="00BE1502">
            <w:pPr>
              <w:jc w:val="center"/>
              <w:rPr>
                <w:rFonts w:cs="Arial"/>
                <w:sz w:val="22"/>
                <w:szCs w:val="22"/>
              </w:rPr>
            </w:pPr>
            <w:r w:rsidRPr="001766D4">
              <w:rPr>
                <w:rFonts w:cs="Arial"/>
                <w:sz w:val="22"/>
                <w:szCs w:val="22"/>
              </w:rPr>
              <w:t>1.7</w:t>
            </w:r>
          </w:p>
        </w:tc>
      </w:tr>
      <w:tr w:rsidR="004E12ED" w:rsidRPr="001766D4" w:rsidTr="00BE1502">
        <w:tc>
          <w:tcPr>
            <w:tcW w:w="1702" w:type="dxa"/>
          </w:tcPr>
          <w:p w:rsidR="004E12ED" w:rsidRPr="001766D4" w:rsidRDefault="004E12ED" w:rsidP="00BE1502">
            <w:pPr>
              <w:rPr>
                <w:rFonts w:cs="Arial"/>
                <w:sz w:val="22"/>
                <w:szCs w:val="22"/>
              </w:rPr>
            </w:pPr>
            <w:r w:rsidRPr="001766D4">
              <w:rPr>
                <w:rFonts w:cs="Arial"/>
                <w:sz w:val="22"/>
                <w:szCs w:val="22"/>
              </w:rPr>
              <w:t>Hospital Discharges</w:t>
            </w:r>
          </w:p>
        </w:tc>
        <w:tc>
          <w:tcPr>
            <w:tcW w:w="4279" w:type="dxa"/>
          </w:tcPr>
          <w:p w:rsidR="004E12ED" w:rsidRPr="001766D4" w:rsidRDefault="004E12ED" w:rsidP="00BE1502">
            <w:pPr>
              <w:rPr>
                <w:rFonts w:cs="Arial"/>
                <w:sz w:val="22"/>
                <w:szCs w:val="22"/>
              </w:rPr>
            </w:pPr>
            <w:proofErr w:type="spellStart"/>
            <w:r w:rsidRPr="001766D4">
              <w:rPr>
                <w:rFonts w:cs="Arial"/>
                <w:sz w:val="22"/>
                <w:szCs w:val="22"/>
              </w:rPr>
              <w:t>DToC</w:t>
            </w:r>
            <w:proofErr w:type="spellEnd"/>
            <w:r w:rsidRPr="001766D4">
              <w:rPr>
                <w:rFonts w:cs="Arial"/>
                <w:sz w:val="22"/>
                <w:szCs w:val="22"/>
              </w:rPr>
              <w:t xml:space="preserve"> Joint causes</w:t>
            </w:r>
          </w:p>
        </w:tc>
        <w:tc>
          <w:tcPr>
            <w:tcW w:w="1134" w:type="dxa"/>
          </w:tcPr>
          <w:p w:rsidR="004E12ED" w:rsidRPr="001766D4" w:rsidRDefault="004E12ED" w:rsidP="00BE1502">
            <w:pPr>
              <w:jc w:val="center"/>
              <w:rPr>
                <w:rFonts w:cs="Arial"/>
                <w:sz w:val="22"/>
                <w:szCs w:val="22"/>
              </w:rPr>
            </w:pPr>
            <w:r w:rsidRPr="001766D4">
              <w:rPr>
                <w:rFonts w:cs="Arial"/>
                <w:sz w:val="22"/>
                <w:szCs w:val="22"/>
              </w:rPr>
              <w:t>0.3</w:t>
            </w:r>
          </w:p>
        </w:tc>
        <w:tc>
          <w:tcPr>
            <w:tcW w:w="1134" w:type="dxa"/>
          </w:tcPr>
          <w:p w:rsidR="004E12ED" w:rsidRPr="001766D4" w:rsidRDefault="004E12ED" w:rsidP="00BE1502">
            <w:pPr>
              <w:jc w:val="center"/>
              <w:rPr>
                <w:rFonts w:cs="Arial"/>
                <w:sz w:val="22"/>
                <w:szCs w:val="22"/>
              </w:rPr>
            </w:pPr>
            <w:r w:rsidRPr="001766D4">
              <w:rPr>
                <w:rFonts w:cs="Arial"/>
                <w:sz w:val="22"/>
                <w:szCs w:val="22"/>
              </w:rPr>
              <w:t>Lower</w:t>
            </w:r>
          </w:p>
        </w:tc>
        <w:tc>
          <w:tcPr>
            <w:tcW w:w="992" w:type="dxa"/>
          </w:tcPr>
          <w:p w:rsidR="004E12ED" w:rsidRPr="001766D4" w:rsidRDefault="004E12ED" w:rsidP="00BE1502">
            <w:pPr>
              <w:jc w:val="center"/>
              <w:rPr>
                <w:rFonts w:cs="Arial"/>
                <w:sz w:val="22"/>
                <w:szCs w:val="22"/>
              </w:rPr>
            </w:pPr>
            <w:r w:rsidRPr="001766D4">
              <w:rPr>
                <w:rFonts w:cs="Arial"/>
                <w:sz w:val="22"/>
                <w:szCs w:val="22"/>
              </w:rPr>
              <w:t>0.2</w:t>
            </w:r>
          </w:p>
        </w:tc>
      </w:tr>
      <w:tr w:rsidR="004E12ED" w:rsidRPr="001766D4" w:rsidTr="00BE1502">
        <w:tc>
          <w:tcPr>
            <w:tcW w:w="1702" w:type="dxa"/>
          </w:tcPr>
          <w:p w:rsidR="004E12ED" w:rsidRPr="001766D4" w:rsidRDefault="004E12ED" w:rsidP="00BE1502">
            <w:pPr>
              <w:rPr>
                <w:rFonts w:cs="Arial"/>
                <w:sz w:val="22"/>
                <w:szCs w:val="22"/>
              </w:rPr>
            </w:pPr>
            <w:r w:rsidRPr="001766D4">
              <w:rPr>
                <w:rFonts w:cs="Arial"/>
                <w:sz w:val="22"/>
                <w:szCs w:val="22"/>
              </w:rPr>
              <w:t>Hospital Discharges</w:t>
            </w:r>
          </w:p>
        </w:tc>
        <w:tc>
          <w:tcPr>
            <w:tcW w:w="4279" w:type="dxa"/>
          </w:tcPr>
          <w:p w:rsidR="004E12ED" w:rsidRPr="001766D4" w:rsidRDefault="004E12ED" w:rsidP="00BE1502">
            <w:pPr>
              <w:rPr>
                <w:rFonts w:cs="Arial"/>
                <w:sz w:val="22"/>
                <w:szCs w:val="22"/>
              </w:rPr>
            </w:pPr>
            <w:r w:rsidRPr="001766D4">
              <w:rPr>
                <w:rFonts w:cs="Arial"/>
                <w:sz w:val="22"/>
                <w:szCs w:val="22"/>
              </w:rPr>
              <w:t xml:space="preserve">The proportion of older people receiving </w:t>
            </w:r>
            <w:proofErr w:type="spellStart"/>
            <w:r w:rsidRPr="001766D4">
              <w:rPr>
                <w:rFonts w:cs="Arial"/>
                <w:sz w:val="22"/>
                <w:szCs w:val="22"/>
              </w:rPr>
              <w:t>reablement</w:t>
            </w:r>
            <w:proofErr w:type="spellEnd"/>
            <w:r w:rsidRPr="001766D4">
              <w:rPr>
                <w:rFonts w:cs="Arial"/>
                <w:sz w:val="22"/>
                <w:szCs w:val="22"/>
              </w:rPr>
              <w:t xml:space="preserve">/rehab services after hospital </w:t>
            </w:r>
          </w:p>
        </w:tc>
        <w:tc>
          <w:tcPr>
            <w:tcW w:w="1134" w:type="dxa"/>
          </w:tcPr>
          <w:p w:rsidR="004E12ED" w:rsidRPr="001766D4" w:rsidRDefault="004E12ED" w:rsidP="00BE1502">
            <w:pPr>
              <w:jc w:val="center"/>
              <w:rPr>
                <w:rFonts w:cs="Arial"/>
                <w:sz w:val="22"/>
                <w:szCs w:val="22"/>
              </w:rPr>
            </w:pPr>
            <w:r w:rsidRPr="001766D4">
              <w:rPr>
                <w:rFonts w:cs="Arial"/>
                <w:sz w:val="22"/>
                <w:szCs w:val="22"/>
              </w:rPr>
              <w:t>7.1%</w:t>
            </w:r>
          </w:p>
        </w:tc>
        <w:tc>
          <w:tcPr>
            <w:tcW w:w="1134" w:type="dxa"/>
          </w:tcPr>
          <w:p w:rsidR="004E12ED" w:rsidRPr="001766D4" w:rsidRDefault="004E12ED" w:rsidP="00BE1502">
            <w:pPr>
              <w:jc w:val="center"/>
              <w:rPr>
                <w:rFonts w:cs="Arial"/>
                <w:sz w:val="22"/>
                <w:szCs w:val="22"/>
              </w:rPr>
            </w:pPr>
            <w:r w:rsidRPr="001766D4">
              <w:rPr>
                <w:rFonts w:cs="Arial"/>
                <w:sz w:val="22"/>
                <w:szCs w:val="22"/>
              </w:rPr>
              <w:t>Lower</w:t>
            </w:r>
          </w:p>
        </w:tc>
        <w:tc>
          <w:tcPr>
            <w:tcW w:w="992" w:type="dxa"/>
          </w:tcPr>
          <w:p w:rsidR="004E12ED" w:rsidRPr="001766D4" w:rsidRDefault="004E12ED" w:rsidP="00BE1502">
            <w:pPr>
              <w:jc w:val="center"/>
              <w:rPr>
                <w:rFonts w:cs="Arial"/>
                <w:sz w:val="22"/>
                <w:szCs w:val="22"/>
              </w:rPr>
            </w:pPr>
            <w:r w:rsidRPr="001766D4">
              <w:rPr>
                <w:rFonts w:cs="Arial"/>
                <w:sz w:val="22"/>
                <w:szCs w:val="22"/>
              </w:rPr>
              <w:t>3.9%</w:t>
            </w:r>
          </w:p>
        </w:tc>
      </w:tr>
      <w:tr w:rsidR="004E12ED" w:rsidRPr="001766D4" w:rsidTr="00BE1502">
        <w:tc>
          <w:tcPr>
            <w:tcW w:w="1702" w:type="dxa"/>
          </w:tcPr>
          <w:p w:rsidR="004E12ED" w:rsidRPr="001766D4" w:rsidRDefault="004E12ED" w:rsidP="00BE1502">
            <w:pPr>
              <w:rPr>
                <w:rFonts w:cs="Arial"/>
                <w:sz w:val="22"/>
                <w:szCs w:val="22"/>
              </w:rPr>
            </w:pPr>
            <w:proofErr w:type="spellStart"/>
            <w:r w:rsidRPr="001766D4">
              <w:rPr>
                <w:rFonts w:cs="Arial"/>
                <w:sz w:val="22"/>
                <w:szCs w:val="22"/>
              </w:rPr>
              <w:t>Reablement</w:t>
            </w:r>
            <w:proofErr w:type="spellEnd"/>
          </w:p>
        </w:tc>
        <w:tc>
          <w:tcPr>
            <w:tcW w:w="4279" w:type="dxa"/>
          </w:tcPr>
          <w:p w:rsidR="004E12ED" w:rsidRPr="001766D4" w:rsidRDefault="004E12ED" w:rsidP="00BE1502">
            <w:pPr>
              <w:rPr>
                <w:rFonts w:cs="Arial"/>
                <w:sz w:val="22"/>
                <w:szCs w:val="22"/>
              </w:rPr>
            </w:pPr>
            <w:r w:rsidRPr="001766D4">
              <w:rPr>
                <w:rFonts w:cs="Arial"/>
                <w:sz w:val="22"/>
                <w:szCs w:val="22"/>
              </w:rPr>
              <w:t xml:space="preserve">Outcome of </w:t>
            </w:r>
            <w:proofErr w:type="spellStart"/>
            <w:r w:rsidRPr="001766D4">
              <w:rPr>
                <w:rFonts w:cs="Arial"/>
                <w:sz w:val="22"/>
                <w:szCs w:val="22"/>
              </w:rPr>
              <w:t>reablement</w:t>
            </w:r>
            <w:proofErr w:type="spellEnd"/>
            <w:r w:rsidRPr="001766D4">
              <w:rPr>
                <w:rFonts w:cs="Arial"/>
                <w:sz w:val="22"/>
                <w:szCs w:val="22"/>
              </w:rPr>
              <w:t xml:space="preserve"> is to not need</w:t>
            </w:r>
          </w:p>
          <w:p w:rsidR="004E12ED" w:rsidRPr="001766D4" w:rsidRDefault="004E12ED" w:rsidP="00BE1502">
            <w:pPr>
              <w:rPr>
                <w:rFonts w:cs="Arial"/>
                <w:sz w:val="22"/>
                <w:szCs w:val="22"/>
              </w:rPr>
            </w:pPr>
            <w:r w:rsidRPr="001766D4">
              <w:rPr>
                <w:rFonts w:cs="Arial"/>
                <w:sz w:val="22"/>
                <w:szCs w:val="22"/>
              </w:rPr>
              <w:t>long term support</w:t>
            </w:r>
          </w:p>
        </w:tc>
        <w:tc>
          <w:tcPr>
            <w:tcW w:w="1134" w:type="dxa"/>
          </w:tcPr>
          <w:p w:rsidR="004E12ED" w:rsidRPr="001766D4" w:rsidRDefault="004E12ED" w:rsidP="00BE1502">
            <w:pPr>
              <w:jc w:val="center"/>
              <w:rPr>
                <w:rFonts w:cs="Arial"/>
                <w:sz w:val="22"/>
                <w:szCs w:val="22"/>
              </w:rPr>
            </w:pPr>
            <w:r w:rsidRPr="001766D4">
              <w:rPr>
                <w:rFonts w:cs="Arial"/>
                <w:sz w:val="22"/>
                <w:szCs w:val="22"/>
              </w:rPr>
              <w:t>59%</w:t>
            </w:r>
          </w:p>
        </w:tc>
        <w:tc>
          <w:tcPr>
            <w:tcW w:w="1134" w:type="dxa"/>
          </w:tcPr>
          <w:p w:rsidR="004E12ED" w:rsidRPr="001766D4" w:rsidRDefault="004E12ED" w:rsidP="00BE1502">
            <w:pPr>
              <w:jc w:val="center"/>
              <w:rPr>
                <w:rFonts w:cs="Arial"/>
                <w:sz w:val="22"/>
                <w:szCs w:val="22"/>
              </w:rPr>
            </w:pPr>
            <w:r w:rsidRPr="001766D4">
              <w:rPr>
                <w:rFonts w:cs="Arial"/>
                <w:sz w:val="22"/>
                <w:szCs w:val="22"/>
              </w:rPr>
              <w:t>Increase</w:t>
            </w:r>
          </w:p>
        </w:tc>
        <w:tc>
          <w:tcPr>
            <w:tcW w:w="992" w:type="dxa"/>
          </w:tcPr>
          <w:p w:rsidR="004E12ED" w:rsidRPr="001766D4" w:rsidRDefault="004E12ED" w:rsidP="00BE1502">
            <w:pPr>
              <w:jc w:val="center"/>
              <w:rPr>
                <w:rFonts w:cs="Arial"/>
                <w:sz w:val="22"/>
                <w:szCs w:val="22"/>
              </w:rPr>
            </w:pPr>
            <w:r w:rsidRPr="001766D4">
              <w:rPr>
                <w:rFonts w:cs="Arial"/>
                <w:sz w:val="22"/>
                <w:szCs w:val="22"/>
              </w:rPr>
              <w:t>75%</w:t>
            </w:r>
          </w:p>
        </w:tc>
      </w:tr>
    </w:tbl>
    <w:p w:rsidR="00FB23F5" w:rsidRDefault="004E12ED" w:rsidP="00FB23F5">
      <w:r>
        <w:t xml:space="preserve"> </w:t>
      </w:r>
    </w:p>
    <w:p w:rsidR="00202489" w:rsidRPr="00FB23F5" w:rsidRDefault="00202489" w:rsidP="00FB23F5"/>
    <w:p w:rsidR="00E446E9" w:rsidRDefault="00E446E9" w:rsidP="00B36547">
      <w:pPr>
        <w:pStyle w:val="Heading2"/>
        <w:keepNext/>
      </w:pPr>
      <w:r w:rsidRPr="00E446E9">
        <w:t>Environmental Impact</w:t>
      </w:r>
    </w:p>
    <w:p w:rsidR="00A80F10" w:rsidRDefault="00A80F10" w:rsidP="00B36547">
      <w:pPr>
        <w:keepNext/>
        <w:jc w:val="center"/>
        <w:rPr>
          <w:b/>
        </w:rPr>
      </w:pPr>
    </w:p>
    <w:p w:rsidR="001120D6" w:rsidRPr="006837F4" w:rsidRDefault="006837F4" w:rsidP="001120D6">
      <w:r w:rsidRPr="006837F4">
        <w:t>There are no environmental impact issues arising from the overall Resilient Harrow Programme.</w:t>
      </w:r>
    </w:p>
    <w:p w:rsidR="006837F4" w:rsidRPr="006837F4" w:rsidRDefault="006837F4" w:rsidP="001120D6"/>
    <w:p w:rsidR="006837F4" w:rsidRPr="006837F4" w:rsidRDefault="006837F4" w:rsidP="001120D6">
      <w:r w:rsidRPr="006837F4">
        <w:t>Individual projects will identify and appropriately address and specific environmental issues</w:t>
      </w:r>
    </w:p>
    <w:p w:rsidR="006837F4" w:rsidRDefault="006837F4" w:rsidP="001120D6">
      <w:pPr>
        <w:rPr>
          <w:highlight w:val="yellow"/>
        </w:rPr>
      </w:pPr>
    </w:p>
    <w:p w:rsidR="006837F4" w:rsidRPr="00346E0F" w:rsidRDefault="006837F4" w:rsidP="001120D6">
      <w:pPr>
        <w:rPr>
          <w:highlight w:val="yellow"/>
        </w:rPr>
      </w:pPr>
    </w:p>
    <w:p w:rsidR="00915FD6" w:rsidRDefault="00915FD6" w:rsidP="00B36547">
      <w:pPr>
        <w:pStyle w:val="Heading2"/>
        <w:keepNext/>
      </w:pPr>
      <w:r>
        <w:t>Risk Management Implications</w:t>
      </w:r>
    </w:p>
    <w:p w:rsidR="00612A64" w:rsidRDefault="00612A64" w:rsidP="00B36547">
      <w:pPr>
        <w:pStyle w:val="Heading1"/>
        <w:keepNext/>
        <w:rPr>
          <w:b/>
          <w:sz w:val="24"/>
          <w:szCs w:val="24"/>
        </w:rPr>
      </w:pPr>
    </w:p>
    <w:p w:rsidR="006837F4" w:rsidRDefault="006837F4" w:rsidP="00D4068D">
      <w:pPr>
        <w:ind w:right="81"/>
        <w:rPr>
          <w:rFonts w:cs="Arial"/>
          <w:szCs w:val="24"/>
          <w:lang w:val="en-US"/>
        </w:rPr>
      </w:pPr>
      <w:r>
        <w:rPr>
          <w:rFonts w:cs="Arial"/>
          <w:szCs w:val="24"/>
          <w:lang w:val="en-US"/>
        </w:rPr>
        <w:t xml:space="preserve">Project management documentation for each project within the Resilient Harrow </w:t>
      </w:r>
      <w:proofErr w:type="spellStart"/>
      <w:r>
        <w:rPr>
          <w:rFonts w:cs="Arial"/>
          <w:szCs w:val="24"/>
          <w:lang w:val="en-US"/>
        </w:rPr>
        <w:t>programme</w:t>
      </w:r>
      <w:proofErr w:type="spellEnd"/>
      <w:r>
        <w:rPr>
          <w:rFonts w:cs="Arial"/>
          <w:szCs w:val="24"/>
          <w:lang w:val="en-US"/>
        </w:rPr>
        <w:t xml:space="preserve"> identifies risks and issues. These are monitored and kept under review through the governance arrangements at project and Board level.</w:t>
      </w:r>
    </w:p>
    <w:p w:rsidR="006837F4" w:rsidRDefault="006837F4" w:rsidP="00D4068D">
      <w:pPr>
        <w:ind w:right="81"/>
        <w:rPr>
          <w:rFonts w:cs="Arial"/>
          <w:szCs w:val="24"/>
          <w:lang w:val="en-US"/>
        </w:rPr>
      </w:pPr>
    </w:p>
    <w:p w:rsidR="00214DC7" w:rsidRDefault="006837F4" w:rsidP="00D4068D">
      <w:pPr>
        <w:ind w:right="81"/>
        <w:rPr>
          <w:rFonts w:cs="Arial"/>
          <w:szCs w:val="24"/>
          <w:lang w:val="en-US"/>
        </w:rPr>
      </w:pPr>
      <w:r>
        <w:rPr>
          <w:rFonts w:cs="Arial"/>
          <w:szCs w:val="24"/>
          <w:lang w:val="en-US"/>
        </w:rPr>
        <w:t xml:space="preserve">The individual project risks are not included specifically on the departmental risk register, </w:t>
      </w:r>
      <w:r w:rsidR="00214DC7">
        <w:rPr>
          <w:rFonts w:cs="Arial"/>
          <w:szCs w:val="24"/>
          <w:lang w:val="en-US"/>
        </w:rPr>
        <w:t xml:space="preserve">but </w:t>
      </w:r>
      <w:r>
        <w:rPr>
          <w:rFonts w:cs="Arial"/>
          <w:szCs w:val="24"/>
          <w:lang w:val="en-US"/>
        </w:rPr>
        <w:t>do contribute to the management of</w:t>
      </w:r>
      <w:r w:rsidR="00214DC7">
        <w:rPr>
          <w:rFonts w:cs="Arial"/>
          <w:szCs w:val="24"/>
          <w:lang w:val="en-US"/>
        </w:rPr>
        <w:t xml:space="preserve"> the risks on the register.</w:t>
      </w:r>
    </w:p>
    <w:p w:rsidR="00214DC7" w:rsidRDefault="00214DC7" w:rsidP="00D4068D">
      <w:pPr>
        <w:ind w:right="81"/>
        <w:rPr>
          <w:rFonts w:cs="Arial"/>
          <w:szCs w:val="24"/>
          <w:lang w:val="en-US"/>
        </w:rPr>
      </w:pPr>
    </w:p>
    <w:p w:rsidR="00214DC7" w:rsidRPr="00214DC7" w:rsidRDefault="00214DC7" w:rsidP="00D4068D">
      <w:pPr>
        <w:ind w:right="81"/>
        <w:rPr>
          <w:rFonts w:cs="Arial"/>
          <w:szCs w:val="24"/>
          <w:lang w:val="en-US"/>
        </w:rPr>
      </w:pPr>
      <w:r w:rsidRPr="00214DC7">
        <w:rPr>
          <w:rFonts w:cs="Arial"/>
          <w:szCs w:val="24"/>
          <w:lang w:val="en-US"/>
        </w:rPr>
        <w:t>These include risks relating to:</w:t>
      </w:r>
    </w:p>
    <w:p w:rsidR="00214DC7" w:rsidRPr="00214DC7" w:rsidRDefault="00214DC7" w:rsidP="00214DC7">
      <w:pPr>
        <w:pStyle w:val="ListParagraph"/>
        <w:numPr>
          <w:ilvl w:val="0"/>
          <w:numId w:val="28"/>
        </w:numPr>
        <w:ind w:right="81"/>
        <w:rPr>
          <w:sz w:val="24"/>
          <w:szCs w:val="24"/>
          <w:lang w:val="en-US"/>
        </w:rPr>
      </w:pPr>
      <w:r w:rsidRPr="00214DC7">
        <w:rPr>
          <w:sz w:val="24"/>
          <w:szCs w:val="24"/>
          <w:lang w:val="en-US"/>
        </w:rPr>
        <w:t>Managing demand</w:t>
      </w:r>
    </w:p>
    <w:p w:rsidR="00214DC7" w:rsidRPr="00214DC7" w:rsidRDefault="00214DC7" w:rsidP="00214DC7">
      <w:pPr>
        <w:pStyle w:val="ListParagraph"/>
        <w:numPr>
          <w:ilvl w:val="0"/>
          <w:numId w:val="28"/>
        </w:numPr>
        <w:ind w:right="81"/>
        <w:rPr>
          <w:sz w:val="24"/>
          <w:szCs w:val="24"/>
          <w:lang w:val="en-US"/>
        </w:rPr>
      </w:pPr>
      <w:r w:rsidRPr="00214DC7">
        <w:rPr>
          <w:sz w:val="24"/>
          <w:szCs w:val="24"/>
          <w:lang w:val="en-US"/>
        </w:rPr>
        <w:t>Financial control</w:t>
      </w:r>
    </w:p>
    <w:p w:rsidR="00214DC7" w:rsidRPr="00214DC7" w:rsidRDefault="00214DC7" w:rsidP="00214DC7">
      <w:pPr>
        <w:pStyle w:val="ListParagraph"/>
        <w:numPr>
          <w:ilvl w:val="0"/>
          <w:numId w:val="28"/>
        </w:numPr>
        <w:ind w:right="81"/>
        <w:rPr>
          <w:sz w:val="24"/>
          <w:szCs w:val="24"/>
          <w:lang w:val="en-US"/>
        </w:rPr>
      </w:pPr>
      <w:r w:rsidRPr="00214DC7">
        <w:rPr>
          <w:sz w:val="24"/>
          <w:szCs w:val="24"/>
          <w:lang w:val="en-US"/>
        </w:rPr>
        <w:lastRenderedPageBreak/>
        <w:t>Changing demographics and needs</w:t>
      </w:r>
    </w:p>
    <w:p w:rsidR="00214DC7" w:rsidRPr="00214DC7" w:rsidRDefault="00214DC7" w:rsidP="00214DC7">
      <w:pPr>
        <w:pStyle w:val="ListParagraph"/>
        <w:numPr>
          <w:ilvl w:val="0"/>
          <w:numId w:val="28"/>
        </w:numPr>
        <w:ind w:right="81"/>
        <w:rPr>
          <w:sz w:val="24"/>
          <w:szCs w:val="24"/>
          <w:lang w:val="en-US"/>
        </w:rPr>
      </w:pPr>
      <w:r w:rsidRPr="00214DC7">
        <w:rPr>
          <w:sz w:val="24"/>
          <w:szCs w:val="24"/>
          <w:lang w:val="en-US"/>
        </w:rPr>
        <w:t xml:space="preserve">Local care markets </w:t>
      </w:r>
    </w:p>
    <w:p w:rsidR="00214DC7" w:rsidRPr="00214DC7" w:rsidRDefault="00214DC7" w:rsidP="00D4068D">
      <w:pPr>
        <w:ind w:right="81"/>
        <w:rPr>
          <w:rFonts w:cs="Arial"/>
          <w:szCs w:val="24"/>
          <w:lang w:val="en-US"/>
        </w:rPr>
      </w:pPr>
    </w:p>
    <w:p w:rsidR="00F63742" w:rsidRDefault="00F63742" w:rsidP="00612A64">
      <w:pPr>
        <w:ind w:right="141"/>
        <w:rPr>
          <w:rFonts w:cs="Arial"/>
          <w:szCs w:val="24"/>
          <w:lang w:val="en-US"/>
        </w:rPr>
      </w:pPr>
    </w:p>
    <w:p w:rsidR="00DA38BD" w:rsidRDefault="00DA38BD" w:rsidP="00B776F3">
      <w:pPr>
        <w:pStyle w:val="Heading2"/>
        <w:keepNext/>
      </w:pPr>
    </w:p>
    <w:p w:rsidR="00B776F3" w:rsidRPr="004A2543" w:rsidRDefault="00B776F3" w:rsidP="00B776F3">
      <w:pPr>
        <w:pStyle w:val="Heading2"/>
        <w:keepNext/>
      </w:pPr>
      <w:r w:rsidRPr="004A2543">
        <w:t>Equalities implications</w:t>
      </w:r>
      <w:r w:rsidR="00F63742">
        <w:t xml:space="preserve"> / Public Sector Equality Duty  </w:t>
      </w:r>
    </w:p>
    <w:p w:rsidR="00B776F3" w:rsidRDefault="00B776F3" w:rsidP="00B776F3">
      <w:pPr>
        <w:keepNext/>
      </w:pPr>
    </w:p>
    <w:p w:rsidR="00214DC7" w:rsidRDefault="00214DC7" w:rsidP="00B776F3">
      <w:r>
        <w:t>An Equality Impact Assessment (</w:t>
      </w:r>
      <w:proofErr w:type="spellStart"/>
      <w:r>
        <w:t>EqIA</w:t>
      </w:r>
      <w:proofErr w:type="spellEnd"/>
      <w:r>
        <w:t xml:space="preserve">) has not been carried out for the </w:t>
      </w:r>
      <w:proofErr w:type="spellStart"/>
      <w:r>
        <w:t>Resileint</w:t>
      </w:r>
      <w:proofErr w:type="spellEnd"/>
      <w:r>
        <w:t xml:space="preserve"> Harrow programme as a whole. Rather, these issues are addressed at a project level with an </w:t>
      </w:r>
      <w:proofErr w:type="spellStart"/>
      <w:r>
        <w:t>EqIA</w:t>
      </w:r>
      <w:proofErr w:type="spellEnd"/>
      <w:r>
        <w:t xml:space="preserve"> carried out if appropriate.</w:t>
      </w:r>
    </w:p>
    <w:p w:rsidR="00214DC7" w:rsidRDefault="00214DC7" w:rsidP="00B776F3"/>
    <w:p w:rsidR="00214DC7" w:rsidRDefault="00214DC7" w:rsidP="00B776F3">
      <w:r>
        <w:t xml:space="preserve">For example an </w:t>
      </w:r>
      <w:proofErr w:type="spellStart"/>
      <w:r>
        <w:t>EqIA</w:t>
      </w:r>
      <w:proofErr w:type="spellEnd"/>
      <w:r>
        <w:t xml:space="preserve"> </w:t>
      </w:r>
      <w:r w:rsidR="004F4998">
        <w:t>has</w:t>
      </w:r>
      <w:r>
        <w:t xml:space="preserve"> be</w:t>
      </w:r>
      <w:r w:rsidR="004F4998">
        <w:t>en</w:t>
      </w:r>
      <w:r>
        <w:t xml:space="preserve"> completed as part of the Charging Policy Review project.</w:t>
      </w:r>
    </w:p>
    <w:p w:rsidR="00214DC7" w:rsidRPr="00214DC7" w:rsidRDefault="00214DC7" w:rsidP="00B776F3"/>
    <w:p w:rsidR="00AA1D1C" w:rsidRPr="00CD57D8" w:rsidRDefault="00777253" w:rsidP="00AA1D1C">
      <w:pPr>
        <w:pStyle w:val="Heading2"/>
      </w:pPr>
      <w:r>
        <w:t xml:space="preserve">Council </w:t>
      </w:r>
      <w:r w:rsidR="00AA1D1C" w:rsidRPr="00CD57D8">
        <w:t>Priorities</w:t>
      </w:r>
    </w:p>
    <w:p w:rsidR="00AA1D1C" w:rsidRDefault="00AA1D1C" w:rsidP="00AA1D1C">
      <w:pPr>
        <w:keepNext/>
        <w:ind w:right="144"/>
        <w:rPr>
          <w:rFonts w:cs="Arial"/>
          <w:szCs w:val="24"/>
          <w:lang w:val="en-US"/>
        </w:rPr>
      </w:pPr>
    </w:p>
    <w:p w:rsidR="00214DC7" w:rsidRDefault="00214DC7" w:rsidP="00930C42">
      <w:pPr>
        <w:rPr>
          <w:rFonts w:cs="Arial"/>
          <w:szCs w:val="24"/>
          <w:lang w:val="en-US"/>
        </w:rPr>
      </w:pPr>
      <w:r>
        <w:rPr>
          <w:rFonts w:cs="Arial"/>
          <w:szCs w:val="24"/>
          <w:lang w:val="en-US"/>
        </w:rPr>
        <w:t xml:space="preserve">The Resilient Harrow </w:t>
      </w:r>
      <w:proofErr w:type="spellStart"/>
      <w:r>
        <w:rPr>
          <w:rFonts w:cs="Arial"/>
          <w:szCs w:val="24"/>
          <w:lang w:val="en-US"/>
        </w:rPr>
        <w:t>programme</w:t>
      </w:r>
      <w:proofErr w:type="spellEnd"/>
      <w:r>
        <w:rPr>
          <w:rFonts w:cs="Arial"/>
          <w:szCs w:val="24"/>
          <w:lang w:val="en-US"/>
        </w:rPr>
        <w:t xml:space="preserve"> and the various projects within it contribute to the delivery of the following Council priorities:</w:t>
      </w:r>
    </w:p>
    <w:p w:rsidR="00214DC7" w:rsidRPr="00214DC7" w:rsidRDefault="00214DC7" w:rsidP="00930C42">
      <w:pPr>
        <w:rPr>
          <w:rFonts w:cs="Arial"/>
          <w:szCs w:val="24"/>
          <w:lang w:val="en-US"/>
        </w:rPr>
      </w:pPr>
    </w:p>
    <w:p w:rsidR="00930C42" w:rsidRPr="00930C42" w:rsidRDefault="00930C42" w:rsidP="00A8150C">
      <w:pPr>
        <w:pStyle w:val="ListParagraph"/>
        <w:numPr>
          <w:ilvl w:val="0"/>
          <w:numId w:val="15"/>
        </w:numPr>
        <w:autoSpaceDE w:val="0"/>
        <w:autoSpaceDN w:val="0"/>
        <w:contextualSpacing/>
        <w:rPr>
          <w:b/>
          <w:bCs/>
          <w:sz w:val="24"/>
        </w:rPr>
      </w:pPr>
      <w:r w:rsidRPr="00930C42">
        <w:rPr>
          <w:b/>
          <w:bCs/>
          <w:sz w:val="24"/>
        </w:rPr>
        <w:t>Building a Better Harrow</w:t>
      </w:r>
    </w:p>
    <w:p w:rsidR="00930C42" w:rsidRPr="00825D81" w:rsidRDefault="00930C42" w:rsidP="00A8150C">
      <w:pPr>
        <w:pStyle w:val="ListParagraph"/>
        <w:numPr>
          <w:ilvl w:val="0"/>
          <w:numId w:val="16"/>
        </w:numPr>
        <w:autoSpaceDE w:val="0"/>
        <w:autoSpaceDN w:val="0"/>
        <w:contextualSpacing/>
        <w:rPr>
          <w:i/>
          <w:sz w:val="24"/>
        </w:rPr>
      </w:pPr>
      <w:r w:rsidRPr="00825D81">
        <w:rPr>
          <w:i/>
          <w:sz w:val="24"/>
        </w:rPr>
        <w:t>Increase the supply of genuinely affordable and quality housing for Harrow residents</w:t>
      </w:r>
    </w:p>
    <w:p w:rsidR="00930C42" w:rsidRPr="00825D81" w:rsidRDefault="00930C42" w:rsidP="00A8150C">
      <w:pPr>
        <w:pStyle w:val="ListParagraph"/>
        <w:numPr>
          <w:ilvl w:val="0"/>
          <w:numId w:val="16"/>
        </w:numPr>
        <w:autoSpaceDE w:val="0"/>
        <w:autoSpaceDN w:val="0"/>
        <w:contextualSpacing/>
        <w:rPr>
          <w:i/>
          <w:sz w:val="24"/>
        </w:rPr>
      </w:pPr>
      <w:r w:rsidRPr="00825D81">
        <w:rPr>
          <w:i/>
          <w:sz w:val="24"/>
        </w:rPr>
        <w:t>More people are actively engaged in sporting, artistic and cultural activities in ways that improve physical and mental health and community cohesion</w:t>
      </w:r>
    </w:p>
    <w:p w:rsidR="00930C42" w:rsidRPr="00930C42" w:rsidRDefault="00930C42" w:rsidP="00930C42">
      <w:pPr>
        <w:autoSpaceDE w:val="0"/>
        <w:autoSpaceDN w:val="0"/>
        <w:rPr>
          <w:b/>
          <w:bCs/>
        </w:rPr>
      </w:pPr>
    </w:p>
    <w:p w:rsidR="00930C42" w:rsidRPr="00930C42" w:rsidRDefault="00930C42" w:rsidP="00A8150C">
      <w:pPr>
        <w:pStyle w:val="ListParagraph"/>
        <w:numPr>
          <w:ilvl w:val="0"/>
          <w:numId w:val="15"/>
        </w:numPr>
        <w:autoSpaceDE w:val="0"/>
        <w:autoSpaceDN w:val="0"/>
        <w:contextualSpacing/>
        <w:rPr>
          <w:b/>
          <w:bCs/>
          <w:sz w:val="24"/>
        </w:rPr>
      </w:pPr>
      <w:r w:rsidRPr="00930C42">
        <w:rPr>
          <w:b/>
          <w:bCs/>
          <w:sz w:val="24"/>
        </w:rPr>
        <w:t>Supporting Those Most in Need</w:t>
      </w:r>
    </w:p>
    <w:p w:rsidR="00930C42" w:rsidRPr="00825D81" w:rsidRDefault="00930C42" w:rsidP="00A8150C">
      <w:pPr>
        <w:pStyle w:val="ListParagraph"/>
        <w:numPr>
          <w:ilvl w:val="0"/>
          <w:numId w:val="17"/>
        </w:numPr>
        <w:autoSpaceDE w:val="0"/>
        <w:autoSpaceDN w:val="0"/>
        <w:contextualSpacing/>
        <w:rPr>
          <w:i/>
          <w:sz w:val="24"/>
        </w:rPr>
      </w:pPr>
      <w:r w:rsidRPr="00825D81">
        <w:rPr>
          <w:i/>
          <w:sz w:val="24"/>
        </w:rPr>
        <w:t>Empower residents to maintain their well-being and independence</w:t>
      </w:r>
    </w:p>
    <w:p w:rsidR="00930C42" w:rsidRPr="00825D81" w:rsidRDefault="00930C42" w:rsidP="00A8150C">
      <w:pPr>
        <w:pStyle w:val="ListParagraph"/>
        <w:numPr>
          <w:ilvl w:val="0"/>
          <w:numId w:val="17"/>
        </w:numPr>
        <w:autoSpaceDE w:val="0"/>
        <w:autoSpaceDN w:val="0"/>
        <w:contextualSpacing/>
        <w:rPr>
          <w:i/>
          <w:sz w:val="24"/>
        </w:rPr>
      </w:pPr>
      <w:r w:rsidRPr="00825D81">
        <w:rPr>
          <w:i/>
          <w:sz w:val="24"/>
        </w:rPr>
        <w:t>Reduce the gap in life expectancy in the borough</w:t>
      </w:r>
    </w:p>
    <w:p w:rsidR="00930C42" w:rsidRPr="00930C42" w:rsidRDefault="00930C42" w:rsidP="00930C42">
      <w:pPr>
        <w:autoSpaceDE w:val="0"/>
        <w:autoSpaceDN w:val="0"/>
        <w:rPr>
          <w:b/>
          <w:bCs/>
        </w:rPr>
      </w:pPr>
    </w:p>
    <w:p w:rsidR="00930C42" w:rsidRPr="00930C42" w:rsidRDefault="00930C42" w:rsidP="00A8150C">
      <w:pPr>
        <w:pStyle w:val="ListParagraph"/>
        <w:numPr>
          <w:ilvl w:val="0"/>
          <w:numId w:val="15"/>
        </w:numPr>
        <w:autoSpaceDE w:val="0"/>
        <w:autoSpaceDN w:val="0"/>
        <w:contextualSpacing/>
        <w:rPr>
          <w:b/>
          <w:bCs/>
          <w:sz w:val="24"/>
        </w:rPr>
      </w:pPr>
      <w:r w:rsidRPr="00930C42">
        <w:rPr>
          <w:b/>
          <w:bCs/>
          <w:sz w:val="24"/>
        </w:rPr>
        <w:t>Protecting Vital Public Services</w:t>
      </w:r>
    </w:p>
    <w:p w:rsidR="00930C42" w:rsidRPr="00825D81" w:rsidRDefault="00930C42" w:rsidP="00A8150C">
      <w:pPr>
        <w:pStyle w:val="ListParagraph"/>
        <w:numPr>
          <w:ilvl w:val="0"/>
          <w:numId w:val="18"/>
        </w:numPr>
        <w:autoSpaceDE w:val="0"/>
        <w:autoSpaceDN w:val="0"/>
        <w:contextualSpacing/>
        <w:rPr>
          <w:i/>
          <w:sz w:val="24"/>
        </w:rPr>
      </w:pPr>
      <w:r w:rsidRPr="00825D81">
        <w:rPr>
          <w:i/>
          <w:sz w:val="24"/>
        </w:rPr>
        <w:t>Healthcare services meet the needs of Harrow residents</w:t>
      </w:r>
    </w:p>
    <w:p w:rsidR="00930C42" w:rsidRPr="00825D81" w:rsidRDefault="00930C42" w:rsidP="00A8150C">
      <w:pPr>
        <w:pStyle w:val="ListParagraph"/>
        <w:numPr>
          <w:ilvl w:val="0"/>
          <w:numId w:val="18"/>
        </w:numPr>
        <w:autoSpaceDE w:val="0"/>
        <w:autoSpaceDN w:val="0"/>
        <w:contextualSpacing/>
        <w:rPr>
          <w:i/>
          <w:sz w:val="24"/>
        </w:rPr>
      </w:pPr>
      <w:r w:rsidRPr="00825D81">
        <w:rPr>
          <w:i/>
          <w:sz w:val="24"/>
        </w:rPr>
        <w:t>A strong and resourceful community sector, able to come together to deal with local issues</w:t>
      </w:r>
    </w:p>
    <w:p w:rsidR="00930C42" w:rsidRPr="00930C42" w:rsidRDefault="00930C42" w:rsidP="00930C42">
      <w:pPr>
        <w:autoSpaceDE w:val="0"/>
        <w:autoSpaceDN w:val="0"/>
      </w:pPr>
    </w:p>
    <w:p w:rsidR="00930C42" w:rsidRPr="00930C42" w:rsidRDefault="00930C42" w:rsidP="00A8150C">
      <w:pPr>
        <w:pStyle w:val="ListParagraph"/>
        <w:numPr>
          <w:ilvl w:val="0"/>
          <w:numId w:val="15"/>
        </w:numPr>
        <w:autoSpaceDE w:val="0"/>
        <w:autoSpaceDN w:val="0"/>
        <w:contextualSpacing/>
        <w:rPr>
          <w:b/>
          <w:sz w:val="24"/>
        </w:rPr>
      </w:pPr>
      <w:r w:rsidRPr="00930C42">
        <w:rPr>
          <w:b/>
          <w:sz w:val="24"/>
        </w:rPr>
        <w:t xml:space="preserve">Delivering a Strong </w:t>
      </w:r>
      <w:r w:rsidRPr="00930C42">
        <w:rPr>
          <w:b/>
          <w:bCs/>
          <w:sz w:val="24"/>
        </w:rPr>
        <w:t>local</w:t>
      </w:r>
      <w:r w:rsidRPr="00930C42">
        <w:rPr>
          <w:b/>
          <w:sz w:val="24"/>
        </w:rPr>
        <w:t xml:space="preserve"> Economy for All</w:t>
      </w:r>
    </w:p>
    <w:p w:rsidR="00930C42" w:rsidRPr="00076B2D" w:rsidRDefault="00930C42" w:rsidP="00A8150C">
      <w:pPr>
        <w:pStyle w:val="ListParagraph"/>
        <w:numPr>
          <w:ilvl w:val="0"/>
          <w:numId w:val="19"/>
        </w:numPr>
        <w:autoSpaceDE w:val="0"/>
        <w:autoSpaceDN w:val="0"/>
        <w:contextualSpacing/>
        <w:rPr>
          <w:i/>
          <w:sz w:val="24"/>
        </w:rPr>
      </w:pPr>
      <w:r w:rsidRPr="00076B2D">
        <w:rPr>
          <w:i/>
          <w:sz w:val="24"/>
        </w:rPr>
        <w:t>Reduce levels of in-work poverty and improve people’s job opportunities</w:t>
      </w:r>
    </w:p>
    <w:p w:rsidR="00930C42" w:rsidRPr="00076B2D" w:rsidRDefault="00930C42" w:rsidP="00930C42">
      <w:pPr>
        <w:autoSpaceDE w:val="0"/>
        <w:autoSpaceDN w:val="0"/>
        <w:rPr>
          <w:i/>
        </w:rPr>
      </w:pPr>
    </w:p>
    <w:p w:rsidR="00930C42" w:rsidRPr="00930C42" w:rsidRDefault="00930C42" w:rsidP="00A8150C">
      <w:pPr>
        <w:pStyle w:val="ListParagraph"/>
        <w:numPr>
          <w:ilvl w:val="0"/>
          <w:numId w:val="15"/>
        </w:numPr>
        <w:autoSpaceDE w:val="0"/>
        <w:autoSpaceDN w:val="0"/>
        <w:contextualSpacing/>
        <w:rPr>
          <w:b/>
          <w:bCs/>
          <w:sz w:val="24"/>
        </w:rPr>
      </w:pPr>
      <w:r w:rsidRPr="00930C42">
        <w:rPr>
          <w:b/>
          <w:sz w:val="24"/>
        </w:rPr>
        <w:t>Modernising</w:t>
      </w:r>
      <w:r w:rsidRPr="00930C42">
        <w:rPr>
          <w:b/>
          <w:bCs/>
          <w:sz w:val="24"/>
        </w:rPr>
        <w:t xml:space="preserve"> Harrow Council</w:t>
      </w:r>
    </w:p>
    <w:p w:rsidR="00930C42" w:rsidRPr="00825D81" w:rsidRDefault="00930C42" w:rsidP="00A8150C">
      <w:pPr>
        <w:pStyle w:val="ListParagraph"/>
        <w:numPr>
          <w:ilvl w:val="0"/>
          <w:numId w:val="20"/>
        </w:numPr>
        <w:autoSpaceDE w:val="0"/>
        <w:autoSpaceDN w:val="0"/>
        <w:contextualSpacing/>
        <w:rPr>
          <w:i/>
          <w:sz w:val="24"/>
        </w:rPr>
      </w:pPr>
      <w:r w:rsidRPr="00825D81">
        <w:rPr>
          <w:i/>
          <w:sz w:val="24"/>
        </w:rPr>
        <w:t>Deliver excellent value for money services</w:t>
      </w:r>
    </w:p>
    <w:p w:rsidR="00930C42" w:rsidRPr="00825D81" w:rsidRDefault="00930C42" w:rsidP="00A8150C">
      <w:pPr>
        <w:pStyle w:val="ListParagraph"/>
        <w:numPr>
          <w:ilvl w:val="0"/>
          <w:numId w:val="20"/>
        </w:numPr>
        <w:autoSpaceDE w:val="0"/>
        <w:autoSpaceDN w:val="0"/>
        <w:contextualSpacing/>
        <w:rPr>
          <w:i/>
          <w:sz w:val="24"/>
        </w:rPr>
      </w:pPr>
      <w:r w:rsidRPr="00825D81">
        <w:rPr>
          <w:i/>
          <w:sz w:val="24"/>
        </w:rPr>
        <w:t>Use technology and innovation to modernise how the Council works</w:t>
      </w:r>
    </w:p>
    <w:p w:rsidR="00930C42" w:rsidRPr="00825D81" w:rsidRDefault="00930C42" w:rsidP="00A8150C">
      <w:pPr>
        <w:pStyle w:val="ListParagraph"/>
        <w:numPr>
          <w:ilvl w:val="0"/>
          <w:numId w:val="20"/>
        </w:numPr>
        <w:autoSpaceDE w:val="0"/>
        <w:autoSpaceDN w:val="0"/>
        <w:contextualSpacing/>
        <w:rPr>
          <w:i/>
          <w:sz w:val="24"/>
        </w:rPr>
      </w:pPr>
      <w:r w:rsidRPr="00825D81">
        <w:rPr>
          <w:i/>
          <w:sz w:val="24"/>
        </w:rPr>
        <w:t>Improving access to digital services</w:t>
      </w:r>
    </w:p>
    <w:p w:rsidR="00930C42" w:rsidRPr="00F22C98" w:rsidRDefault="00930C42" w:rsidP="00930C42"/>
    <w:p w:rsidR="00D86C2E" w:rsidRDefault="00D86C2E" w:rsidP="00612A64">
      <w:pPr>
        <w:rPr>
          <w:rFonts w:ascii="Times New Roman" w:hAnsi="Times New Roman"/>
          <w:szCs w:val="24"/>
          <w:lang w:val="en-US"/>
        </w:rPr>
      </w:pPr>
    </w:p>
    <w:p w:rsidR="004838DE" w:rsidRDefault="004838DE" w:rsidP="000417A4">
      <w:pPr>
        <w:pStyle w:val="Heading1"/>
        <w:keepNext/>
      </w:pPr>
    </w:p>
    <w:p w:rsidR="004838DE" w:rsidRDefault="004838DE" w:rsidP="000417A4">
      <w:pPr>
        <w:pStyle w:val="Heading1"/>
        <w:keepNext/>
      </w:pPr>
    </w:p>
    <w:p w:rsidR="005441BD" w:rsidRDefault="005441BD" w:rsidP="000417A4">
      <w:pPr>
        <w:pStyle w:val="Heading1"/>
        <w:keepNext/>
      </w:pPr>
      <w:r>
        <w:t>Section 3 - Statutory Officer Clearance</w:t>
      </w:r>
    </w:p>
    <w:p w:rsidR="00B36547" w:rsidRDefault="00B36547" w:rsidP="000417A4">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5441BD">
        <w:tc>
          <w:tcPr>
            <w:tcW w:w="2791"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360AAE">
            <w:pPr>
              <w:pStyle w:val="Infotext"/>
            </w:pPr>
            <w:r>
              <w:t>on behalf of the</w:t>
            </w:r>
          </w:p>
        </w:tc>
      </w:tr>
      <w:tr w:rsidR="005441BD">
        <w:tc>
          <w:tcPr>
            <w:tcW w:w="2791" w:type="pct"/>
            <w:tcBorders>
              <w:top w:val="nil"/>
              <w:bottom w:val="nil"/>
            </w:tcBorders>
          </w:tcPr>
          <w:p w:rsidR="005441BD" w:rsidRDefault="005441BD" w:rsidP="00360AAE">
            <w:pPr>
              <w:pStyle w:val="Infotext"/>
            </w:pPr>
            <w:r>
              <w:t>Name:</w:t>
            </w:r>
            <w:r w:rsidR="007217F4">
              <w:t xml:space="preserve">  </w:t>
            </w:r>
            <w:r w:rsidR="00360AAE">
              <w:t>Donna Edwards</w:t>
            </w:r>
          </w:p>
        </w:tc>
        <w:tc>
          <w:tcPr>
            <w:tcW w:w="138" w:type="pct"/>
            <w:tcBorders>
              <w:bottom w:val="single" w:sz="4" w:space="0" w:color="auto"/>
            </w:tcBorders>
          </w:tcPr>
          <w:p w:rsidR="005441BD" w:rsidRDefault="002E1BAD">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Chief Financial Officer</w:t>
            </w:r>
          </w:p>
        </w:tc>
      </w:tr>
      <w:tr w:rsidR="005441BD">
        <w:tc>
          <w:tcPr>
            <w:tcW w:w="2791" w:type="pct"/>
            <w:tcBorders>
              <w:top w:val="nil"/>
              <w:right w:val="nil"/>
            </w:tcBorders>
          </w:tcPr>
          <w:p w:rsidR="005441BD" w:rsidRDefault="005441BD">
            <w:pPr>
              <w:pStyle w:val="Infotext"/>
            </w:pPr>
            <w:r>
              <w:t xml:space="preserve"> </w:t>
            </w:r>
          </w:p>
          <w:p w:rsidR="005441BD" w:rsidRDefault="005441BD" w:rsidP="00630293">
            <w:pPr>
              <w:pStyle w:val="Infotext"/>
            </w:pPr>
            <w:r>
              <w:t xml:space="preserve">Date: </w:t>
            </w:r>
            <w:r w:rsidR="007217F4">
              <w:t xml:space="preserve"> </w:t>
            </w:r>
            <w:r w:rsidR="00630293">
              <w:t>4</w:t>
            </w:r>
            <w:r w:rsidR="00F24DEB">
              <w:t>-1</w:t>
            </w:r>
            <w:r w:rsidR="00630293">
              <w:t>2</w:t>
            </w:r>
            <w:r w:rsidR="00F24DEB">
              <w:t>-19</w:t>
            </w:r>
          </w:p>
        </w:tc>
        <w:tc>
          <w:tcPr>
            <w:tcW w:w="138" w:type="pct"/>
            <w:tcBorders>
              <w:left w:val="nil"/>
              <w:bottom w:val="single" w:sz="4" w:space="0" w:color="auto"/>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tc>
      </w:tr>
      <w:tr w:rsidR="005441BD">
        <w:tc>
          <w:tcPr>
            <w:tcW w:w="2791"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360AAE">
            <w:pPr>
              <w:pStyle w:val="Infotext"/>
            </w:pPr>
            <w:r>
              <w:t>on behalf of the</w:t>
            </w:r>
          </w:p>
        </w:tc>
      </w:tr>
      <w:tr w:rsidR="005441BD">
        <w:tc>
          <w:tcPr>
            <w:tcW w:w="2791" w:type="pct"/>
            <w:tcBorders>
              <w:top w:val="nil"/>
              <w:bottom w:val="nil"/>
            </w:tcBorders>
          </w:tcPr>
          <w:p w:rsidR="005441BD" w:rsidRDefault="005441BD" w:rsidP="004838DE">
            <w:pPr>
              <w:pStyle w:val="Infotext"/>
            </w:pPr>
            <w:r>
              <w:t xml:space="preserve">Name: </w:t>
            </w:r>
            <w:r w:rsidR="007217F4">
              <w:t xml:space="preserve"> </w:t>
            </w:r>
            <w:r w:rsidR="004838DE">
              <w:t>Sharon Clarke</w:t>
            </w:r>
          </w:p>
        </w:tc>
        <w:tc>
          <w:tcPr>
            <w:tcW w:w="138" w:type="pct"/>
            <w:tcBorders>
              <w:bottom w:val="single" w:sz="4" w:space="0" w:color="auto"/>
            </w:tcBorders>
          </w:tcPr>
          <w:p w:rsidR="005441BD" w:rsidRDefault="002E1BAD">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Monitoring Officer</w:t>
            </w:r>
          </w:p>
        </w:tc>
      </w:tr>
      <w:tr w:rsidR="005441BD">
        <w:tc>
          <w:tcPr>
            <w:tcW w:w="2791" w:type="pct"/>
            <w:tcBorders>
              <w:top w:val="nil"/>
              <w:right w:val="nil"/>
            </w:tcBorders>
          </w:tcPr>
          <w:p w:rsidR="005441BD" w:rsidRDefault="005441BD">
            <w:pPr>
              <w:pStyle w:val="Infotext"/>
            </w:pPr>
          </w:p>
          <w:p w:rsidR="005441BD" w:rsidRDefault="005441BD" w:rsidP="00B944D8">
            <w:pPr>
              <w:pStyle w:val="Infotext"/>
            </w:pPr>
            <w:r>
              <w:t xml:space="preserve">Date: </w:t>
            </w:r>
            <w:r w:rsidR="007217F4">
              <w:t xml:space="preserve"> </w:t>
            </w:r>
            <w:r w:rsidR="004838DE">
              <w:t>11</w:t>
            </w:r>
            <w:r w:rsidR="00F24DEB">
              <w:t>-1</w:t>
            </w:r>
            <w:r w:rsidR="00630293">
              <w:t>2</w:t>
            </w:r>
            <w:r w:rsidR="00F24DEB">
              <w:t>-19</w:t>
            </w:r>
          </w:p>
        </w:tc>
        <w:tc>
          <w:tcPr>
            <w:tcW w:w="138" w:type="pct"/>
            <w:tcBorders>
              <w:left w:val="nil"/>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p w:rsidR="005441BD" w:rsidRDefault="005441BD">
            <w:pPr>
              <w:pStyle w:val="Infotext"/>
            </w:pPr>
          </w:p>
        </w:tc>
      </w:tr>
    </w:tbl>
    <w:p w:rsidR="005441BD" w:rsidRDefault="005441BD"/>
    <w:p w:rsidR="00B944D8" w:rsidRDefault="00B944D8"/>
    <w:p w:rsidR="00B944D8" w:rsidRDefault="00B944D8"/>
    <w:p w:rsidR="00B944D8" w:rsidRDefault="00B944D8"/>
    <w:p w:rsidR="00F63742" w:rsidRDefault="00F63742" w:rsidP="00F637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9"/>
        <w:gridCol w:w="383"/>
        <w:gridCol w:w="234"/>
        <w:gridCol w:w="3599"/>
      </w:tblGrid>
      <w:tr w:rsidR="00F63742" w:rsidTr="001C1569">
        <w:tc>
          <w:tcPr>
            <w:tcW w:w="4752" w:type="dxa"/>
            <w:tcBorders>
              <w:bottom w:val="nil"/>
              <w:right w:val="nil"/>
            </w:tcBorders>
          </w:tcPr>
          <w:p w:rsidR="00F63742" w:rsidRDefault="00F63742" w:rsidP="001C1569">
            <w:pPr>
              <w:pStyle w:val="Infotext"/>
            </w:pPr>
          </w:p>
          <w:p w:rsidR="00F63742" w:rsidRDefault="00F63742" w:rsidP="001C1569">
            <w:pPr>
              <w:pStyle w:val="Infotext"/>
            </w:pPr>
          </w:p>
        </w:tc>
        <w:tc>
          <w:tcPr>
            <w:tcW w:w="387" w:type="dxa"/>
            <w:tcBorders>
              <w:left w:val="nil"/>
              <w:right w:val="nil"/>
            </w:tcBorders>
          </w:tcPr>
          <w:p w:rsidR="00F63742" w:rsidRDefault="00F63742" w:rsidP="001C1569">
            <w:pPr>
              <w:pStyle w:val="Infotext"/>
            </w:pPr>
          </w:p>
        </w:tc>
        <w:tc>
          <w:tcPr>
            <w:tcW w:w="236" w:type="dxa"/>
            <w:tcBorders>
              <w:left w:val="nil"/>
              <w:bottom w:val="nil"/>
              <w:right w:val="nil"/>
            </w:tcBorders>
          </w:tcPr>
          <w:p w:rsidR="00F63742" w:rsidRDefault="00F63742" w:rsidP="001C1569">
            <w:pPr>
              <w:pStyle w:val="Infotext"/>
            </w:pPr>
          </w:p>
        </w:tc>
        <w:tc>
          <w:tcPr>
            <w:tcW w:w="3890" w:type="dxa"/>
            <w:tcBorders>
              <w:left w:val="nil"/>
              <w:bottom w:val="nil"/>
            </w:tcBorders>
          </w:tcPr>
          <w:p w:rsidR="00F63742" w:rsidRDefault="00F63742" w:rsidP="001C1569">
            <w:pPr>
              <w:pStyle w:val="Infotext"/>
            </w:pPr>
          </w:p>
          <w:p w:rsidR="00F63742" w:rsidRDefault="00F63742" w:rsidP="001C1569">
            <w:pPr>
              <w:pStyle w:val="Infotext"/>
            </w:pPr>
          </w:p>
        </w:tc>
      </w:tr>
      <w:tr w:rsidR="00F63742" w:rsidTr="001C1569">
        <w:tc>
          <w:tcPr>
            <w:tcW w:w="4752" w:type="dxa"/>
            <w:tcBorders>
              <w:top w:val="nil"/>
              <w:bottom w:val="nil"/>
            </w:tcBorders>
          </w:tcPr>
          <w:p w:rsidR="00F63742" w:rsidRDefault="00F63742" w:rsidP="007217F4">
            <w:pPr>
              <w:pStyle w:val="Infotext"/>
            </w:pPr>
            <w:r>
              <w:t xml:space="preserve">Name: </w:t>
            </w:r>
            <w:r w:rsidR="007217F4">
              <w:t xml:space="preserve"> </w:t>
            </w:r>
            <w:r w:rsidR="00F24DEB">
              <w:t>Paul Hewitt</w:t>
            </w:r>
          </w:p>
        </w:tc>
        <w:tc>
          <w:tcPr>
            <w:tcW w:w="387" w:type="dxa"/>
            <w:tcBorders>
              <w:bottom w:val="single" w:sz="4" w:space="0" w:color="auto"/>
            </w:tcBorders>
          </w:tcPr>
          <w:p w:rsidR="00F63742" w:rsidRDefault="002E1BAD" w:rsidP="001C1569">
            <w:pPr>
              <w:pStyle w:val="Infotext"/>
            </w:pPr>
            <w:r>
              <w:t>x</w:t>
            </w:r>
          </w:p>
        </w:tc>
        <w:tc>
          <w:tcPr>
            <w:tcW w:w="236" w:type="dxa"/>
            <w:tcBorders>
              <w:top w:val="nil"/>
              <w:bottom w:val="nil"/>
              <w:right w:val="nil"/>
            </w:tcBorders>
          </w:tcPr>
          <w:p w:rsidR="00F63742" w:rsidRDefault="00F63742" w:rsidP="001C1569">
            <w:pPr>
              <w:pStyle w:val="Infotext"/>
            </w:pPr>
          </w:p>
        </w:tc>
        <w:tc>
          <w:tcPr>
            <w:tcW w:w="3890" w:type="dxa"/>
            <w:tcBorders>
              <w:top w:val="nil"/>
              <w:left w:val="nil"/>
              <w:bottom w:val="nil"/>
            </w:tcBorders>
          </w:tcPr>
          <w:p w:rsidR="00F63742" w:rsidRDefault="00F63742" w:rsidP="001C1569">
            <w:pPr>
              <w:pStyle w:val="Infotext"/>
            </w:pPr>
            <w:r>
              <w:t>Corporate Director</w:t>
            </w:r>
            <w:r w:rsidR="002E1BAD">
              <w:t>, People</w:t>
            </w:r>
          </w:p>
        </w:tc>
      </w:tr>
      <w:tr w:rsidR="00F63742" w:rsidTr="001C1569">
        <w:tc>
          <w:tcPr>
            <w:tcW w:w="4752" w:type="dxa"/>
            <w:tcBorders>
              <w:top w:val="nil"/>
              <w:right w:val="nil"/>
            </w:tcBorders>
          </w:tcPr>
          <w:p w:rsidR="00F63742" w:rsidRDefault="00F63742" w:rsidP="001C1569">
            <w:pPr>
              <w:pStyle w:val="Infotext"/>
            </w:pPr>
            <w:r>
              <w:t xml:space="preserve"> </w:t>
            </w:r>
          </w:p>
          <w:p w:rsidR="00F63742" w:rsidRDefault="00F63742" w:rsidP="004838DE">
            <w:pPr>
              <w:pStyle w:val="Infotext"/>
            </w:pPr>
            <w:r>
              <w:t xml:space="preserve">Date: </w:t>
            </w:r>
            <w:r w:rsidR="007217F4">
              <w:t xml:space="preserve"> </w:t>
            </w:r>
            <w:r w:rsidR="004838DE">
              <w:t>12</w:t>
            </w:r>
            <w:r w:rsidR="00F24DEB">
              <w:t>-1</w:t>
            </w:r>
            <w:r w:rsidR="004838DE">
              <w:t>2</w:t>
            </w:r>
            <w:r w:rsidR="002E1BAD">
              <w:t>-</w:t>
            </w:r>
            <w:r w:rsidR="00F24DEB">
              <w:t>19</w:t>
            </w:r>
          </w:p>
        </w:tc>
        <w:tc>
          <w:tcPr>
            <w:tcW w:w="387" w:type="dxa"/>
            <w:tcBorders>
              <w:left w:val="nil"/>
              <w:bottom w:val="single" w:sz="4" w:space="0" w:color="auto"/>
              <w:right w:val="nil"/>
            </w:tcBorders>
          </w:tcPr>
          <w:p w:rsidR="00F63742" w:rsidRDefault="00F63742" w:rsidP="001C1569">
            <w:pPr>
              <w:pStyle w:val="Infotext"/>
            </w:pPr>
          </w:p>
        </w:tc>
        <w:tc>
          <w:tcPr>
            <w:tcW w:w="236" w:type="dxa"/>
            <w:tcBorders>
              <w:top w:val="nil"/>
              <w:left w:val="nil"/>
              <w:right w:val="nil"/>
            </w:tcBorders>
          </w:tcPr>
          <w:p w:rsidR="00F63742" w:rsidRDefault="00F63742" w:rsidP="001C1569">
            <w:pPr>
              <w:pStyle w:val="Infotext"/>
            </w:pPr>
          </w:p>
        </w:tc>
        <w:tc>
          <w:tcPr>
            <w:tcW w:w="3890" w:type="dxa"/>
            <w:tcBorders>
              <w:top w:val="nil"/>
              <w:left w:val="nil"/>
            </w:tcBorders>
          </w:tcPr>
          <w:p w:rsidR="00F63742" w:rsidRDefault="00F63742" w:rsidP="001C1569">
            <w:pPr>
              <w:pStyle w:val="Infotext"/>
            </w:pPr>
          </w:p>
        </w:tc>
      </w:tr>
    </w:tbl>
    <w:p w:rsidR="00F63742" w:rsidRDefault="00F63742" w:rsidP="00F63742"/>
    <w:p w:rsidR="006377D6" w:rsidRPr="006377D6" w:rsidRDefault="006377D6" w:rsidP="000417A4">
      <w:pPr>
        <w:pStyle w:val="Heading1"/>
        <w:keepNext/>
        <w:rPr>
          <w:sz w:val="24"/>
          <w:szCs w:val="24"/>
        </w:rPr>
      </w:pPr>
    </w:p>
    <w:p w:rsidR="006377D6" w:rsidRPr="006377D6" w:rsidRDefault="006377D6" w:rsidP="000417A4">
      <w:pPr>
        <w:pStyle w:val="Heading1"/>
        <w:keepN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6377D6">
        <w:trPr>
          <w:trHeight w:val="965"/>
        </w:trPr>
        <w:tc>
          <w:tcPr>
            <w:tcW w:w="3025" w:type="pct"/>
            <w:tcBorders>
              <w:right w:val="nil"/>
            </w:tcBorders>
          </w:tcPr>
          <w:p w:rsidR="006377D6" w:rsidRDefault="006377D6" w:rsidP="003739BF">
            <w:pPr>
              <w:pStyle w:val="Infotext"/>
              <w:rPr>
                <w:rFonts w:ascii="Arial Black" w:hAnsi="Arial Black"/>
              </w:rPr>
            </w:pPr>
            <w:r>
              <w:rPr>
                <w:rFonts w:ascii="Arial Black" w:hAnsi="Arial Black"/>
              </w:rPr>
              <w:t>Ward Councillors notified:</w:t>
            </w:r>
          </w:p>
          <w:p w:rsidR="006377D6" w:rsidRDefault="006377D6" w:rsidP="003739BF">
            <w:pPr>
              <w:pStyle w:val="Infotext"/>
            </w:pPr>
          </w:p>
        </w:tc>
        <w:tc>
          <w:tcPr>
            <w:tcW w:w="1975" w:type="pct"/>
            <w:tcBorders>
              <w:left w:val="nil"/>
            </w:tcBorders>
          </w:tcPr>
          <w:p w:rsidR="006377D6" w:rsidRPr="00A406F3" w:rsidRDefault="003E7898" w:rsidP="003739BF">
            <w:pPr>
              <w:pStyle w:val="Infotext"/>
              <w:spacing w:before="120"/>
              <w:rPr>
                <w:b/>
              </w:rPr>
            </w:pPr>
            <w:r>
              <w:rPr>
                <w:b/>
              </w:rPr>
              <w:t>NO</w:t>
            </w:r>
          </w:p>
          <w:p w:rsidR="006377D6" w:rsidRDefault="006377D6" w:rsidP="003739BF">
            <w:pPr>
              <w:pStyle w:val="Infotext"/>
              <w:rPr>
                <w:i/>
                <w:sz w:val="24"/>
                <w:szCs w:val="24"/>
              </w:rPr>
            </w:pPr>
            <w:r>
              <w:rPr>
                <w:i/>
                <w:sz w:val="24"/>
                <w:szCs w:val="24"/>
              </w:rPr>
              <w:t xml:space="preserve"> </w:t>
            </w:r>
          </w:p>
          <w:p w:rsidR="006377D6" w:rsidRPr="003D78F6" w:rsidRDefault="006377D6" w:rsidP="003739BF">
            <w:pPr>
              <w:pStyle w:val="Infotext"/>
              <w:ind w:left="173"/>
              <w:rPr>
                <w:i/>
                <w:sz w:val="24"/>
                <w:szCs w:val="24"/>
              </w:rPr>
            </w:pPr>
          </w:p>
        </w:tc>
      </w:tr>
    </w:tbl>
    <w:p w:rsidR="006377D6" w:rsidRDefault="006377D6" w:rsidP="000417A4">
      <w:pPr>
        <w:pStyle w:val="Heading1"/>
        <w:keepNext/>
        <w:rPr>
          <w:sz w:val="24"/>
          <w:szCs w:val="24"/>
        </w:rPr>
      </w:pPr>
    </w:p>
    <w:p w:rsidR="006377D6" w:rsidRPr="006377D6" w:rsidRDefault="006377D6" w:rsidP="006377D6"/>
    <w:p w:rsidR="005441BD" w:rsidRDefault="005441BD" w:rsidP="000417A4">
      <w:pPr>
        <w:pStyle w:val="Heading1"/>
        <w:keepNext/>
      </w:pPr>
      <w:r>
        <w:t xml:space="preserve">Section </w:t>
      </w:r>
      <w:r w:rsidR="00FB23F5">
        <w:t>4</w:t>
      </w:r>
      <w:r>
        <w:t xml:space="preserve"> - Contact Details and Background Papers</w:t>
      </w:r>
    </w:p>
    <w:p w:rsidR="005441BD" w:rsidRDefault="005441BD" w:rsidP="000417A4">
      <w:pPr>
        <w:keepNext/>
        <w:rPr>
          <w:rFonts w:cs="Arial"/>
        </w:rPr>
      </w:pPr>
    </w:p>
    <w:p w:rsidR="005441BD" w:rsidRDefault="005441BD" w:rsidP="000417A4">
      <w:pPr>
        <w:keepNext/>
      </w:pPr>
    </w:p>
    <w:p w:rsidR="005441BD" w:rsidRDefault="005441BD">
      <w:pPr>
        <w:pStyle w:val="Infotext"/>
        <w:rPr>
          <w:rFonts w:cs="Arial"/>
          <w:sz w:val="24"/>
        </w:rPr>
      </w:pPr>
      <w:r w:rsidRPr="000064A3">
        <w:rPr>
          <w:b/>
        </w:rPr>
        <w:t>Contact:</w:t>
      </w:r>
      <w:r>
        <w:t xml:space="preserve">  </w:t>
      </w:r>
      <w:r w:rsidR="003E7898">
        <w:rPr>
          <w:rFonts w:cs="Arial"/>
          <w:sz w:val="24"/>
        </w:rPr>
        <w:t>Paul Hewitt, Corporate Director (People)</w:t>
      </w:r>
    </w:p>
    <w:p w:rsidR="003E7898" w:rsidRDefault="003E7898">
      <w:pPr>
        <w:pStyle w:val="Infotext"/>
      </w:pPr>
      <w:r>
        <w:rPr>
          <w:rFonts w:cs="Arial"/>
          <w:sz w:val="24"/>
        </w:rPr>
        <w:t xml:space="preserve">Tel: </w:t>
      </w:r>
      <w:r w:rsidRPr="003E7898">
        <w:rPr>
          <w:rFonts w:ascii="Calibri" w:hAnsi="Calibri"/>
          <w:color w:val="000000" w:themeColor="text1"/>
        </w:rPr>
        <w:t>0208 424 1356</w:t>
      </w:r>
    </w:p>
    <w:p w:rsidR="005441BD" w:rsidRDefault="005441BD"/>
    <w:p w:rsidR="005441BD" w:rsidRDefault="005441BD"/>
    <w:p w:rsidR="003E7898" w:rsidRDefault="005441BD">
      <w:pPr>
        <w:pStyle w:val="Infotext"/>
      </w:pPr>
      <w:r w:rsidRPr="000064A3">
        <w:rPr>
          <w:b/>
        </w:rPr>
        <w:t>Background Papers:</w:t>
      </w:r>
      <w:r>
        <w:t xml:space="preserve">  </w:t>
      </w:r>
    </w:p>
    <w:p w:rsidR="003E7898" w:rsidRDefault="003E7898">
      <w:pPr>
        <w:pStyle w:val="Infotext"/>
      </w:pPr>
    </w:p>
    <w:p w:rsidR="003E7898" w:rsidRPr="003E7898" w:rsidRDefault="003E7898">
      <w:pPr>
        <w:pStyle w:val="Infotext"/>
        <w:rPr>
          <w:sz w:val="24"/>
          <w:szCs w:val="24"/>
        </w:rPr>
      </w:pPr>
      <w:r w:rsidRPr="003E7898">
        <w:rPr>
          <w:sz w:val="24"/>
          <w:szCs w:val="24"/>
        </w:rPr>
        <w:t xml:space="preserve">Adult Social Care Vision – Report to Health and Wellbeing Board </w:t>
      </w:r>
      <w:r w:rsidR="002E1BAD">
        <w:rPr>
          <w:sz w:val="24"/>
          <w:szCs w:val="24"/>
        </w:rPr>
        <w:t xml:space="preserve">- </w:t>
      </w:r>
      <w:r w:rsidRPr="003E7898">
        <w:rPr>
          <w:sz w:val="24"/>
          <w:szCs w:val="24"/>
        </w:rPr>
        <w:t>8 March 2018</w:t>
      </w:r>
    </w:p>
    <w:p w:rsidR="00937DB5" w:rsidRDefault="00937DB5">
      <w:pPr>
        <w:pStyle w:val="Infotext"/>
      </w:pPr>
      <w:bookmarkStart w:id="1" w:name="_GoBack"/>
      <w:bookmarkEnd w:id="1"/>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3D" w:rsidRDefault="00F26C3D">
      <w:r>
        <w:separator/>
      </w:r>
    </w:p>
  </w:endnote>
  <w:endnote w:type="continuationSeparator" w:id="0">
    <w:p w:rsidR="00F26C3D" w:rsidRDefault="00F2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3D" w:rsidRDefault="00F26C3D">
      <w:r>
        <w:separator/>
      </w:r>
    </w:p>
  </w:footnote>
  <w:footnote w:type="continuationSeparator" w:id="0">
    <w:p w:rsidR="00F26C3D" w:rsidRDefault="00F26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C534F"/>
    <w:multiLevelType w:val="hybridMultilevel"/>
    <w:tmpl w:val="7D12A1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141450"/>
    <w:multiLevelType w:val="hybridMultilevel"/>
    <w:tmpl w:val="E280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902BC"/>
    <w:multiLevelType w:val="hybridMultilevel"/>
    <w:tmpl w:val="EACA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781340"/>
    <w:multiLevelType w:val="hybridMultilevel"/>
    <w:tmpl w:val="2600128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707C51"/>
    <w:multiLevelType w:val="hybridMultilevel"/>
    <w:tmpl w:val="23C46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C52FF7"/>
    <w:multiLevelType w:val="hybridMultilevel"/>
    <w:tmpl w:val="A89C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2C5203"/>
    <w:multiLevelType w:val="hybridMultilevel"/>
    <w:tmpl w:val="1BE4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521B04"/>
    <w:multiLevelType w:val="hybridMultilevel"/>
    <w:tmpl w:val="2354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132C6C"/>
    <w:multiLevelType w:val="hybridMultilevel"/>
    <w:tmpl w:val="E01C3CD2"/>
    <w:lvl w:ilvl="0" w:tplc="CACA5C8C">
      <w:start w:val="1"/>
      <w:numFmt w:val="bullet"/>
      <w:lvlText w:val="●"/>
      <w:lvlJc w:val="left"/>
      <w:pPr>
        <w:tabs>
          <w:tab w:val="num" w:pos="720"/>
        </w:tabs>
        <w:ind w:left="720" w:hanging="360"/>
      </w:pPr>
      <w:rPr>
        <w:rFonts w:ascii="Arial" w:hAnsi="Arial" w:cs="Times New Roman" w:hint="default"/>
      </w:rPr>
    </w:lvl>
    <w:lvl w:ilvl="1" w:tplc="FFAAAD5A">
      <w:start w:val="1"/>
      <w:numFmt w:val="bullet"/>
      <w:lvlText w:val="●"/>
      <w:lvlJc w:val="left"/>
      <w:pPr>
        <w:tabs>
          <w:tab w:val="num" w:pos="1440"/>
        </w:tabs>
        <w:ind w:left="1440" w:hanging="360"/>
      </w:pPr>
      <w:rPr>
        <w:rFonts w:ascii="Arial" w:hAnsi="Arial" w:cs="Times New Roman" w:hint="default"/>
      </w:rPr>
    </w:lvl>
    <w:lvl w:ilvl="2" w:tplc="CD2EE56C">
      <w:start w:val="1"/>
      <w:numFmt w:val="bullet"/>
      <w:lvlText w:val="●"/>
      <w:lvlJc w:val="left"/>
      <w:pPr>
        <w:tabs>
          <w:tab w:val="num" w:pos="2160"/>
        </w:tabs>
        <w:ind w:left="2160" w:hanging="360"/>
      </w:pPr>
      <w:rPr>
        <w:rFonts w:ascii="Arial" w:hAnsi="Arial" w:cs="Times New Roman" w:hint="default"/>
      </w:rPr>
    </w:lvl>
    <w:lvl w:ilvl="3" w:tplc="DD14C35C">
      <w:start w:val="1"/>
      <w:numFmt w:val="bullet"/>
      <w:lvlText w:val="●"/>
      <w:lvlJc w:val="left"/>
      <w:pPr>
        <w:tabs>
          <w:tab w:val="num" w:pos="2880"/>
        </w:tabs>
        <w:ind w:left="2880" w:hanging="360"/>
      </w:pPr>
      <w:rPr>
        <w:rFonts w:ascii="Arial" w:hAnsi="Arial" w:cs="Times New Roman" w:hint="default"/>
      </w:rPr>
    </w:lvl>
    <w:lvl w:ilvl="4" w:tplc="1D5E2256">
      <w:start w:val="1"/>
      <w:numFmt w:val="bullet"/>
      <w:lvlText w:val="●"/>
      <w:lvlJc w:val="left"/>
      <w:pPr>
        <w:tabs>
          <w:tab w:val="num" w:pos="3600"/>
        </w:tabs>
        <w:ind w:left="3600" w:hanging="360"/>
      </w:pPr>
      <w:rPr>
        <w:rFonts w:ascii="Arial" w:hAnsi="Arial" w:cs="Times New Roman" w:hint="default"/>
      </w:rPr>
    </w:lvl>
    <w:lvl w:ilvl="5" w:tplc="8A9ABE0A">
      <w:start w:val="1"/>
      <w:numFmt w:val="bullet"/>
      <w:lvlText w:val="●"/>
      <w:lvlJc w:val="left"/>
      <w:pPr>
        <w:tabs>
          <w:tab w:val="num" w:pos="4320"/>
        </w:tabs>
        <w:ind w:left="4320" w:hanging="360"/>
      </w:pPr>
      <w:rPr>
        <w:rFonts w:ascii="Arial" w:hAnsi="Arial" w:cs="Times New Roman" w:hint="default"/>
      </w:rPr>
    </w:lvl>
    <w:lvl w:ilvl="6" w:tplc="06F092EC">
      <w:start w:val="1"/>
      <w:numFmt w:val="bullet"/>
      <w:lvlText w:val="●"/>
      <w:lvlJc w:val="left"/>
      <w:pPr>
        <w:tabs>
          <w:tab w:val="num" w:pos="5040"/>
        </w:tabs>
        <w:ind w:left="5040" w:hanging="360"/>
      </w:pPr>
      <w:rPr>
        <w:rFonts w:ascii="Arial" w:hAnsi="Arial" w:cs="Times New Roman" w:hint="default"/>
      </w:rPr>
    </w:lvl>
    <w:lvl w:ilvl="7" w:tplc="F8627B62">
      <w:start w:val="1"/>
      <w:numFmt w:val="bullet"/>
      <w:lvlText w:val="●"/>
      <w:lvlJc w:val="left"/>
      <w:pPr>
        <w:tabs>
          <w:tab w:val="num" w:pos="5760"/>
        </w:tabs>
        <w:ind w:left="5760" w:hanging="360"/>
      </w:pPr>
      <w:rPr>
        <w:rFonts w:ascii="Arial" w:hAnsi="Arial" w:cs="Times New Roman" w:hint="default"/>
      </w:rPr>
    </w:lvl>
    <w:lvl w:ilvl="8" w:tplc="BB0C545C">
      <w:start w:val="1"/>
      <w:numFmt w:val="bullet"/>
      <w:lvlText w:val="●"/>
      <w:lvlJc w:val="left"/>
      <w:pPr>
        <w:tabs>
          <w:tab w:val="num" w:pos="6480"/>
        </w:tabs>
        <w:ind w:left="6480" w:hanging="360"/>
      </w:pPr>
      <w:rPr>
        <w:rFonts w:ascii="Arial" w:hAnsi="Arial" w:cs="Times New Roman" w:hint="default"/>
      </w:rPr>
    </w:lvl>
  </w:abstractNum>
  <w:abstractNum w:abstractNumId="21">
    <w:nsid w:val="4C8542F2"/>
    <w:multiLevelType w:val="hybridMultilevel"/>
    <w:tmpl w:val="0B64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EA2FAA"/>
    <w:multiLevelType w:val="hybridMultilevel"/>
    <w:tmpl w:val="A8D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B81A09"/>
    <w:multiLevelType w:val="hybridMultilevel"/>
    <w:tmpl w:val="F36E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nsid w:val="70913385"/>
    <w:multiLevelType w:val="hybridMultilevel"/>
    <w:tmpl w:val="817E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4341DF"/>
    <w:multiLevelType w:val="hybridMultilevel"/>
    <w:tmpl w:val="70C2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8"/>
  </w:num>
  <w:num w:numId="4">
    <w:abstractNumId w:val="4"/>
  </w:num>
  <w:num w:numId="5">
    <w:abstractNumId w:val="9"/>
  </w:num>
  <w:num w:numId="6">
    <w:abstractNumId w:val="27"/>
  </w:num>
  <w:num w:numId="7">
    <w:abstractNumId w:val="12"/>
  </w:num>
  <w:num w:numId="8">
    <w:abstractNumId w:val="32"/>
  </w:num>
  <w:num w:numId="9">
    <w:abstractNumId w:val="26"/>
  </w:num>
  <w:num w:numId="10">
    <w:abstractNumId w:val="14"/>
  </w:num>
  <w:num w:numId="11">
    <w:abstractNumId w:val="0"/>
  </w:num>
  <w:num w:numId="12">
    <w:abstractNumId w:val="17"/>
  </w:num>
  <w:num w:numId="13">
    <w:abstractNumId w:val="18"/>
  </w:num>
  <w:num w:numId="14">
    <w:abstractNumId w:val="29"/>
  </w:num>
  <w:num w:numId="15">
    <w:abstractNumId w:val="3"/>
  </w:num>
  <w:num w:numId="16">
    <w:abstractNumId w:val="24"/>
  </w:num>
  <w:num w:numId="17">
    <w:abstractNumId w:val="33"/>
  </w:num>
  <w:num w:numId="18">
    <w:abstractNumId w:val="22"/>
  </w:num>
  <w:num w:numId="19">
    <w:abstractNumId w:val="1"/>
  </w:num>
  <w:num w:numId="20">
    <w:abstractNumId w:val="11"/>
  </w:num>
  <w:num w:numId="21">
    <w:abstractNumId w:val="13"/>
  </w:num>
  <w:num w:numId="22">
    <w:abstractNumId w:val="28"/>
  </w:num>
  <w:num w:numId="23">
    <w:abstractNumId w:val="23"/>
  </w:num>
  <w:num w:numId="24">
    <w:abstractNumId w:val="16"/>
  </w:num>
  <w:num w:numId="25">
    <w:abstractNumId w:val="15"/>
  </w:num>
  <w:num w:numId="26">
    <w:abstractNumId w:val="19"/>
  </w:num>
  <w:num w:numId="27">
    <w:abstractNumId w:val="21"/>
  </w:num>
  <w:num w:numId="28">
    <w:abstractNumId w:val="2"/>
  </w:num>
  <w:num w:numId="29">
    <w:abstractNumId w:val="6"/>
  </w:num>
  <w:num w:numId="30">
    <w:abstractNumId w:val="7"/>
  </w:num>
  <w:num w:numId="31">
    <w:abstractNumId w:val="25"/>
  </w:num>
  <w:num w:numId="32">
    <w:abstractNumId w:val="10"/>
  </w:num>
  <w:num w:numId="33">
    <w:abstractNumId w:val="31"/>
  </w:num>
  <w:num w:numId="34">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2B09"/>
    <w:rsid w:val="000064A3"/>
    <w:rsid w:val="00011E6E"/>
    <w:rsid w:val="00025784"/>
    <w:rsid w:val="00036698"/>
    <w:rsid w:val="000417A4"/>
    <w:rsid w:val="00044EA3"/>
    <w:rsid w:val="00046328"/>
    <w:rsid w:val="00062C2A"/>
    <w:rsid w:val="00066FF7"/>
    <w:rsid w:val="0007436A"/>
    <w:rsid w:val="00075CBB"/>
    <w:rsid w:val="00076B2D"/>
    <w:rsid w:val="00077D73"/>
    <w:rsid w:val="000944AB"/>
    <w:rsid w:val="00097B7B"/>
    <w:rsid w:val="000A33E4"/>
    <w:rsid w:val="000B74AD"/>
    <w:rsid w:val="000D2892"/>
    <w:rsid w:val="000D594C"/>
    <w:rsid w:val="000D59D7"/>
    <w:rsid w:val="000E0147"/>
    <w:rsid w:val="000E1120"/>
    <w:rsid w:val="000F4ACC"/>
    <w:rsid w:val="000F665E"/>
    <w:rsid w:val="001071C4"/>
    <w:rsid w:val="001120D6"/>
    <w:rsid w:val="00122783"/>
    <w:rsid w:val="00127C8D"/>
    <w:rsid w:val="00131D9D"/>
    <w:rsid w:val="001346EC"/>
    <w:rsid w:val="00141F91"/>
    <w:rsid w:val="00156C33"/>
    <w:rsid w:val="00157787"/>
    <w:rsid w:val="001757D2"/>
    <w:rsid w:val="00190D62"/>
    <w:rsid w:val="001A0EE4"/>
    <w:rsid w:val="001A1CBA"/>
    <w:rsid w:val="001A3FAD"/>
    <w:rsid w:val="001A6BFF"/>
    <w:rsid w:val="001C1569"/>
    <w:rsid w:val="001C2940"/>
    <w:rsid w:val="001E153E"/>
    <w:rsid w:val="001E282E"/>
    <w:rsid w:val="001E6E71"/>
    <w:rsid w:val="00202489"/>
    <w:rsid w:val="00203EA9"/>
    <w:rsid w:val="00205B6C"/>
    <w:rsid w:val="002069BD"/>
    <w:rsid w:val="0021169C"/>
    <w:rsid w:val="00212465"/>
    <w:rsid w:val="00214DC7"/>
    <w:rsid w:val="00222FEC"/>
    <w:rsid w:val="00230CE8"/>
    <w:rsid w:val="00262641"/>
    <w:rsid w:val="00265990"/>
    <w:rsid w:val="00267B48"/>
    <w:rsid w:val="002708FC"/>
    <w:rsid w:val="00275FE6"/>
    <w:rsid w:val="00277B96"/>
    <w:rsid w:val="00285F79"/>
    <w:rsid w:val="00295B66"/>
    <w:rsid w:val="002A2EC3"/>
    <w:rsid w:val="002A371E"/>
    <w:rsid w:val="002B0524"/>
    <w:rsid w:val="002B6D33"/>
    <w:rsid w:val="002B7F80"/>
    <w:rsid w:val="002C1ED6"/>
    <w:rsid w:val="002C6464"/>
    <w:rsid w:val="002D077C"/>
    <w:rsid w:val="002D0E57"/>
    <w:rsid w:val="002D35ED"/>
    <w:rsid w:val="002D45D5"/>
    <w:rsid w:val="002D616C"/>
    <w:rsid w:val="002E1BAD"/>
    <w:rsid w:val="002E7B8B"/>
    <w:rsid w:val="0031089B"/>
    <w:rsid w:val="00313F3C"/>
    <w:rsid w:val="00324A8E"/>
    <w:rsid w:val="00360AAE"/>
    <w:rsid w:val="00362972"/>
    <w:rsid w:val="003631ED"/>
    <w:rsid w:val="00372CDC"/>
    <w:rsid w:val="003739BF"/>
    <w:rsid w:val="0037540E"/>
    <w:rsid w:val="00377C3E"/>
    <w:rsid w:val="00387830"/>
    <w:rsid w:val="003A2F0B"/>
    <w:rsid w:val="003A4190"/>
    <w:rsid w:val="003D0CF8"/>
    <w:rsid w:val="003D0D09"/>
    <w:rsid w:val="003D1C11"/>
    <w:rsid w:val="003E7898"/>
    <w:rsid w:val="003F2CAA"/>
    <w:rsid w:val="003F64B6"/>
    <w:rsid w:val="004060A7"/>
    <w:rsid w:val="004077C9"/>
    <w:rsid w:val="004242B8"/>
    <w:rsid w:val="00430120"/>
    <w:rsid w:val="00431C38"/>
    <w:rsid w:val="00434108"/>
    <w:rsid w:val="00434AD4"/>
    <w:rsid w:val="00450712"/>
    <w:rsid w:val="00450FA2"/>
    <w:rsid w:val="0046174C"/>
    <w:rsid w:val="004646BB"/>
    <w:rsid w:val="00465728"/>
    <w:rsid w:val="00480D23"/>
    <w:rsid w:val="00482882"/>
    <w:rsid w:val="004838DE"/>
    <w:rsid w:val="0049070E"/>
    <w:rsid w:val="004A0967"/>
    <w:rsid w:val="004A5615"/>
    <w:rsid w:val="004A649C"/>
    <w:rsid w:val="004B254A"/>
    <w:rsid w:val="004D6DB9"/>
    <w:rsid w:val="004D7310"/>
    <w:rsid w:val="004E104D"/>
    <w:rsid w:val="004E12ED"/>
    <w:rsid w:val="004E1960"/>
    <w:rsid w:val="004F3D0A"/>
    <w:rsid w:val="004F4998"/>
    <w:rsid w:val="00507725"/>
    <w:rsid w:val="00512672"/>
    <w:rsid w:val="005200DF"/>
    <w:rsid w:val="005240FE"/>
    <w:rsid w:val="00527689"/>
    <w:rsid w:val="00530F69"/>
    <w:rsid w:val="00534D8F"/>
    <w:rsid w:val="005441BD"/>
    <w:rsid w:val="00550745"/>
    <w:rsid w:val="00576B43"/>
    <w:rsid w:val="00587227"/>
    <w:rsid w:val="005961BE"/>
    <w:rsid w:val="00596B0A"/>
    <w:rsid w:val="005A0494"/>
    <w:rsid w:val="005B426A"/>
    <w:rsid w:val="005C49A2"/>
    <w:rsid w:val="005D0700"/>
    <w:rsid w:val="005D374F"/>
    <w:rsid w:val="005D3881"/>
    <w:rsid w:val="005F3E41"/>
    <w:rsid w:val="005F7B76"/>
    <w:rsid w:val="006003F7"/>
    <w:rsid w:val="00604255"/>
    <w:rsid w:val="00612A64"/>
    <w:rsid w:val="00617F63"/>
    <w:rsid w:val="00624AC0"/>
    <w:rsid w:val="00630293"/>
    <w:rsid w:val="006377D6"/>
    <w:rsid w:val="0064559E"/>
    <w:rsid w:val="00646696"/>
    <w:rsid w:val="00653E71"/>
    <w:rsid w:val="00663218"/>
    <w:rsid w:val="00670663"/>
    <w:rsid w:val="00674783"/>
    <w:rsid w:val="006837F4"/>
    <w:rsid w:val="00694614"/>
    <w:rsid w:val="006A770D"/>
    <w:rsid w:val="006A7920"/>
    <w:rsid w:val="006B23FB"/>
    <w:rsid w:val="006B5F35"/>
    <w:rsid w:val="006C34FF"/>
    <w:rsid w:val="006D7C86"/>
    <w:rsid w:val="00701F24"/>
    <w:rsid w:val="00713DA0"/>
    <w:rsid w:val="007217F4"/>
    <w:rsid w:val="00730D62"/>
    <w:rsid w:val="007444BF"/>
    <w:rsid w:val="00754E57"/>
    <w:rsid w:val="00777253"/>
    <w:rsid w:val="00780A65"/>
    <w:rsid w:val="00796960"/>
    <w:rsid w:val="007A1218"/>
    <w:rsid w:val="007B5574"/>
    <w:rsid w:val="007C7B05"/>
    <w:rsid w:val="007D0A6B"/>
    <w:rsid w:val="007E7D6C"/>
    <w:rsid w:val="007F4BCD"/>
    <w:rsid w:val="00805027"/>
    <w:rsid w:val="0080592D"/>
    <w:rsid w:val="00812664"/>
    <w:rsid w:val="00825D81"/>
    <w:rsid w:val="00830C97"/>
    <w:rsid w:val="008437B8"/>
    <w:rsid w:val="0084779F"/>
    <w:rsid w:val="00851626"/>
    <w:rsid w:val="008951A2"/>
    <w:rsid w:val="008C00C6"/>
    <w:rsid w:val="008E0D81"/>
    <w:rsid w:val="008F1A15"/>
    <w:rsid w:val="008F5620"/>
    <w:rsid w:val="00900324"/>
    <w:rsid w:val="0091176A"/>
    <w:rsid w:val="00915FD6"/>
    <w:rsid w:val="0091632D"/>
    <w:rsid w:val="00930C42"/>
    <w:rsid w:val="00934809"/>
    <w:rsid w:val="009366AD"/>
    <w:rsid w:val="00937DB5"/>
    <w:rsid w:val="00960B1F"/>
    <w:rsid w:val="00973739"/>
    <w:rsid w:val="009761ED"/>
    <w:rsid w:val="00976678"/>
    <w:rsid w:val="00992464"/>
    <w:rsid w:val="009A23DA"/>
    <w:rsid w:val="009B0791"/>
    <w:rsid w:val="009C3B99"/>
    <w:rsid w:val="009C561D"/>
    <w:rsid w:val="009D1916"/>
    <w:rsid w:val="009F6C23"/>
    <w:rsid w:val="009F7E5A"/>
    <w:rsid w:val="00A063C8"/>
    <w:rsid w:val="00A1569A"/>
    <w:rsid w:val="00A1579E"/>
    <w:rsid w:val="00A24E62"/>
    <w:rsid w:val="00A3050F"/>
    <w:rsid w:val="00A30949"/>
    <w:rsid w:val="00A4147E"/>
    <w:rsid w:val="00A51E12"/>
    <w:rsid w:val="00A576C9"/>
    <w:rsid w:val="00A60CD2"/>
    <w:rsid w:val="00A63868"/>
    <w:rsid w:val="00A656CF"/>
    <w:rsid w:val="00A80F10"/>
    <w:rsid w:val="00A8150C"/>
    <w:rsid w:val="00A8712D"/>
    <w:rsid w:val="00AA1879"/>
    <w:rsid w:val="00AA1D1C"/>
    <w:rsid w:val="00AB6E5B"/>
    <w:rsid w:val="00AE3E45"/>
    <w:rsid w:val="00AF003D"/>
    <w:rsid w:val="00AF03E2"/>
    <w:rsid w:val="00AF599F"/>
    <w:rsid w:val="00B058BC"/>
    <w:rsid w:val="00B101EE"/>
    <w:rsid w:val="00B24F54"/>
    <w:rsid w:val="00B25AF8"/>
    <w:rsid w:val="00B361E2"/>
    <w:rsid w:val="00B36547"/>
    <w:rsid w:val="00B46301"/>
    <w:rsid w:val="00B50D94"/>
    <w:rsid w:val="00B60E6C"/>
    <w:rsid w:val="00B7170D"/>
    <w:rsid w:val="00B75672"/>
    <w:rsid w:val="00B776F3"/>
    <w:rsid w:val="00B83D00"/>
    <w:rsid w:val="00B944D8"/>
    <w:rsid w:val="00B96B48"/>
    <w:rsid w:val="00B97261"/>
    <w:rsid w:val="00BA3EB0"/>
    <w:rsid w:val="00BB2863"/>
    <w:rsid w:val="00BD0B97"/>
    <w:rsid w:val="00BD6F2D"/>
    <w:rsid w:val="00BE395B"/>
    <w:rsid w:val="00C00608"/>
    <w:rsid w:val="00C236B6"/>
    <w:rsid w:val="00C316E9"/>
    <w:rsid w:val="00C37118"/>
    <w:rsid w:val="00C647A2"/>
    <w:rsid w:val="00C74F4C"/>
    <w:rsid w:val="00C817CB"/>
    <w:rsid w:val="00C872DE"/>
    <w:rsid w:val="00C928FC"/>
    <w:rsid w:val="00CA4073"/>
    <w:rsid w:val="00CC1569"/>
    <w:rsid w:val="00CC306F"/>
    <w:rsid w:val="00CF28BF"/>
    <w:rsid w:val="00D02013"/>
    <w:rsid w:val="00D021A7"/>
    <w:rsid w:val="00D107B2"/>
    <w:rsid w:val="00D1193B"/>
    <w:rsid w:val="00D16E14"/>
    <w:rsid w:val="00D35B0B"/>
    <w:rsid w:val="00D36B5E"/>
    <w:rsid w:val="00D4068D"/>
    <w:rsid w:val="00D51C40"/>
    <w:rsid w:val="00D5758F"/>
    <w:rsid w:val="00D62FDE"/>
    <w:rsid w:val="00D63F10"/>
    <w:rsid w:val="00D671CA"/>
    <w:rsid w:val="00D719D5"/>
    <w:rsid w:val="00D86AD7"/>
    <w:rsid w:val="00D86C2E"/>
    <w:rsid w:val="00D97566"/>
    <w:rsid w:val="00DA38BD"/>
    <w:rsid w:val="00DB464E"/>
    <w:rsid w:val="00DC3EBB"/>
    <w:rsid w:val="00DD0456"/>
    <w:rsid w:val="00DD7A32"/>
    <w:rsid w:val="00DE0604"/>
    <w:rsid w:val="00DE1B56"/>
    <w:rsid w:val="00DE5A49"/>
    <w:rsid w:val="00DE6CC7"/>
    <w:rsid w:val="00E0012F"/>
    <w:rsid w:val="00E0775D"/>
    <w:rsid w:val="00E1193A"/>
    <w:rsid w:val="00E120CD"/>
    <w:rsid w:val="00E446E9"/>
    <w:rsid w:val="00E55314"/>
    <w:rsid w:val="00E74047"/>
    <w:rsid w:val="00E75B09"/>
    <w:rsid w:val="00E91983"/>
    <w:rsid w:val="00E92E9D"/>
    <w:rsid w:val="00ED5BA3"/>
    <w:rsid w:val="00ED7A23"/>
    <w:rsid w:val="00EE65A2"/>
    <w:rsid w:val="00EE77DF"/>
    <w:rsid w:val="00EF59E1"/>
    <w:rsid w:val="00F037DB"/>
    <w:rsid w:val="00F1064F"/>
    <w:rsid w:val="00F12C0A"/>
    <w:rsid w:val="00F24DEB"/>
    <w:rsid w:val="00F26AF4"/>
    <w:rsid w:val="00F26C3D"/>
    <w:rsid w:val="00F35EA6"/>
    <w:rsid w:val="00F45ADF"/>
    <w:rsid w:val="00F63742"/>
    <w:rsid w:val="00F6616E"/>
    <w:rsid w:val="00F703DA"/>
    <w:rsid w:val="00F966B6"/>
    <w:rsid w:val="00F9686E"/>
    <w:rsid w:val="00FB23F5"/>
    <w:rsid w:val="00FC2AC3"/>
    <w:rsid w:val="00FC6C6E"/>
    <w:rsid w:val="00FD21C6"/>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table" w:styleId="TableGrid">
    <w:name w:val="Table Grid"/>
    <w:basedOn w:val="TableNormal"/>
    <w:uiPriority w:val="59"/>
    <w:rsid w:val="000E0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012F"/>
    <w:pPr>
      <w:spacing w:after="225" w:line="336" w:lineRule="auto"/>
    </w:pPr>
    <w:rPr>
      <w:rFonts w:ascii="Open Sans" w:hAnsi="Open Sans"/>
      <w:szCs w:val="24"/>
      <w:lang w:eastAsia="en-GB"/>
    </w:rPr>
  </w:style>
  <w:style w:type="paragraph" w:customStyle="1" w:styleId="Default">
    <w:name w:val="Default"/>
    <w:basedOn w:val="Normal"/>
    <w:rsid w:val="004077C9"/>
    <w:pPr>
      <w:autoSpaceDE w:val="0"/>
      <w:autoSpaceDN w:val="0"/>
    </w:pPr>
    <w:rPr>
      <w:rFonts w:eastAsiaTheme="minorHAnsi" w:cs="Arial"/>
      <w:color w:val="000000"/>
      <w:szCs w:val="24"/>
      <w:lang w:eastAsia="en-GB"/>
    </w:rPr>
  </w:style>
  <w:style w:type="character" w:customStyle="1" w:styleId="Heading2Char">
    <w:name w:val="Heading 2 Char"/>
    <w:basedOn w:val="DefaultParagraphFont"/>
    <w:link w:val="Heading2"/>
    <w:rsid w:val="00A4147E"/>
    <w:rPr>
      <w:rFonts w:ascii="Arial" w:hAnsi="Arial" w:cs="Arial"/>
      <w:b/>
      <w:bCs/>
      <w:sz w:val="28"/>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table" w:styleId="TableGrid">
    <w:name w:val="Table Grid"/>
    <w:basedOn w:val="TableNormal"/>
    <w:uiPriority w:val="59"/>
    <w:rsid w:val="000E0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012F"/>
    <w:pPr>
      <w:spacing w:after="225" w:line="336" w:lineRule="auto"/>
    </w:pPr>
    <w:rPr>
      <w:rFonts w:ascii="Open Sans" w:hAnsi="Open Sans"/>
      <w:szCs w:val="24"/>
      <w:lang w:eastAsia="en-GB"/>
    </w:rPr>
  </w:style>
  <w:style w:type="paragraph" w:customStyle="1" w:styleId="Default">
    <w:name w:val="Default"/>
    <w:basedOn w:val="Normal"/>
    <w:rsid w:val="004077C9"/>
    <w:pPr>
      <w:autoSpaceDE w:val="0"/>
      <w:autoSpaceDN w:val="0"/>
    </w:pPr>
    <w:rPr>
      <w:rFonts w:eastAsiaTheme="minorHAnsi" w:cs="Arial"/>
      <w:color w:val="000000"/>
      <w:szCs w:val="24"/>
      <w:lang w:eastAsia="en-GB"/>
    </w:rPr>
  </w:style>
  <w:style w:type="character" w:customStyle="1" w:styleId="Heading2Char">
    <w:name w:val="Heading 2 Char"/>
    <w:basedOn w:val="DefaultParagraphFont"/>
    <w:link w:val="Heading2"/>
    <w:rsid w:val="00A4147E"/>
    <w:rPr>
      <w:rFonts w:ascii="Arial" w:hAnsi="Arial" w:cs="Arial"/>
      <w:b/>
      <w:bCs/>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073">
      <w:bodyDiv w:val="1"/>
      <w:marLeft w:val="0"/>
      <w:marRight w:val="0"/>
      <w:marTop w:val="0"/>
      <w:marBottom w:val="0"/>
      <w:divBdr>
        <w:top w:val="none" w:sz="0" w:space="0" w:color="auto"/>
        <w:left w:val="none" w:sz="0" w:space="0" w:color="auto"/>
        <w:bottom w:val="none" w:sz="0" w:space="0" w:color="auto"/>
        <w:right w:val="none" w:sz="0" w:space="0" w:color="auto"/>
      </w:divBdr>
    </w:div>
    <w:div w:id="89860211">
      <w:bodyDiv w:val="1"/>
      <w:marLeft w:val="0"/>
      <w:marRight w:val="0"/>
      <w:marTop w:val="0"/>
      <w:marBottom w:val="0"/>
      <w:divBdr>
        <w:top w:val="none" w:sz="0" w:space="0" w:color="auto"/>
        <w:left w:val="none" w:sz="0" w:space="0" w:color="auto"/>
        <w:bottom w:val="none" w:sz="0" w:space="0" w:color="auto"/>
        <w:right w:val="none" w:sz="0" w:space="0" w:color="auto"/>
      </w:divBdr>
      <w:divsChild>
        <w:div w:id="1648781236">
          <w:marLeft w:val="0"/>
          <w:marRight w:val="0"/>
          <w:marTop w:val="0"/>
          <w:marBottom w:val="0"/>
          <w:divBdr>
            <w:top w:val="none" w:sz="0" w:space="0" w:color="auto"/>
            <w:left w:val="none" w:sz="0" w:space="0" w:color="auto"/>
            <w:bottom w:val="none" w:sz="0" w:space="0" w:color="auto"/>
            <w:right w:val="none" w:sz="0" w:space="0" w:color="auto"/>
          </w:divBdr>
          <w:divsChild>
            <w:div w:id="1220094024">
              <w:marLeft w:val="0"/>
              <w:marRight w:val="0"/>
              <w:marTop w:val="0"/>
              <w:marBottom w:val="0"/>
              <w:divBdr>
                <w:top w:val="none" w:sz="0" w:space="0" w:color="auto"/>
                <w:left w:val="none" w:sz="0" w:space="0" w:color="auto"/>
                <w:bottom w:val="none" w:sz="0" w:space="0" w:color="auto"/>
                <w:right w:val="none" w:sz="0" w:space="0" w:color="auto"/>
              </w:divBdr>
              <w:divsChild>
                <w:div w:id="311444240">
                  <w:marLeft w:val="0"/>
                  <w:marRight w:val="0"/>
                  <w:marTop w:val="0"/>
                  <w:marBottom w:val="0"/>
                  <w:divBdr>
                    <w:top w:val="none" w:sz="0" w:space="0" w:color="auto"/>
                    <w:left w:val="none" w:sz="0" w:space="0" w:color="auto"/>
                    <w:bottom w:val="none" w:sz="0" w:space="0" w:color="auto"/>
                    <w:right w:val="none" w:sz="0" w:space="0" w:color="auto"/>
                  </w:divBdr>
                  <w:divsChild>
                    <w:div w:id="854736260">
                      <w:marLeft w:val="0"/>
                      <w:marRight w:val="0"/>
                      <w:marTop w:val="150"/>
                      <w:marBottom w:val="150"/>
                      <w:divBdr>
                        <w:top w:val="none" w:sz="0" w:space="0" w:color="auto"/>
                        <w:left w:val="none" w:sz="0" w:space="0" w:color="auto"/>
                        <w:bottom w:val="none" w:sz="0" w:space="0" w:color="auto"/>
                        <w:right w:val="none" w:sz="0" w:space="0" w:color="auto"/>
                      </w:divBdr>
                      <w:divsChild>
                        <w:div w:id="310453038">
                          <w:marLeft w:val="0"/>
                          <w:marRight w:val="0"/>
                          <w:marTop w:val="2"/>
                          <w:marBottom w:val="2"/>
                          <w:divBdr>
                            <w:top w:val="single" w:sz="2" w:space="12" w:color="393838"/>
                            <w:left w:val="single" w:sz="2" w:space="12" w:color="393838"/>
                            <w:bottom w:val="single" w:sz="2" w:space="12" w:color="393838"/>
                            <w:right w:val="single" w:sz="2" w:space="12" w:color="393838"/>
                          </w:divBdr>
                          <w:divsChild>
                            <w:div w:id="14421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642448">
      <w:bodyDiv w:val="1"/>
      <w:marLeft w:val="0"/>
      <w:marRight w:val="0"/>
      <w:marTop w:val="0"/>
      <w:marBottom w:val="0"/>
      <w:divBdr>
        <w:top w:val="none" w:sz="0" w:space="0" w:color="auto"/>
        <w:left w:val="none" w:sz="0" w:space="0" w:color="auto"/>
        <w:bottom w:val="none" w:sz="0" w:space="0" w:color="auto"/>
        <w:right w:val="none" w:sz="0" w:space="0" w:color="auto"/>
      </w:divBdr>
    </w:div>
    <w:div w:id="1199583617">
      <w:bodyDiv w:val="1"/>
      <w:marLeft w:val="0"/>
      <w:marRight w:val="0"/>
      <w:marTop w:val="0"/>
      <w:marBottom w:val="0"/>
      <w:divBdr>
        <w:top w:val="none" w:sz="0" w:space="0" w:color="auto"/>
        <w:left w:val="none" w:sz="0" w:space="0" w:color="auto"/>
        <w:bottom w:val="none" w:sz="0" w:space="0" w:color="auto"/>
        <w:right w:val="none" w:sz="0" w:space="0" w:color="auto"/>
      </w:divBdr>
    </w:div>
    <w:div w:id="1499078757">
      <w:bodyDiv w:val="1"/>
      <w:marLeft w:val="0"/>
      <w:marRight w:val="0"/>
      <w:marTop w:val="0"/>
      <w:marBottom w:val="0"/>
      <w:divBdr>
        <w:top w:val="none" w:sz="0" w:space="0" w:color="auto"/>
        <w:left w:val="none" w:sz="0" w:space="0" w:color="auto"/>
        <w:bottom w:val="none" w:sz="0" w:space="0" w:color="auto"/>
        <w:right w:val="none" w:sz="0" w:space="0" w:color="auto"/>
      </w:divBdr>
      <w:divsChild>
        <w:div w:id="1895653145">
          <w:marLeft w:val="0"/>
          <w:marRight w:val="0"/>
          <w:marTop w:val="0"/>
          <w:marBottom w:val="0"/>
          <w:divBdr>
            <w:top w:val="none" w:sz="0" w:space="0" w:color="auto"/>
            <w:left w:val="none" w:sz="0" w:space="0" w:color="auto"/>
            <w:bottom w:val="none" w:sz="0" w:space="0" w:color="auto"/>
            <w:right w:val="none" w:sz="0" w:space="0" w:color="auto"/>
          </w:divBdr>
          <w:divsChild>
            <w:div w:id="11763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1975982524">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4545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30170</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Mike Bibby</cp:lastModifiedBy>
  <cp:revision>3</cp:revision>
  <cp:lastPrinted>2019-11-18T11:28:00Z</cp:lastPrinted>
  <dcterms:created xsi:type="dcterms:W3CDTF">2019-12-12T09:22:00Z</dcterms:created>
  <dcterms:modified xsi:type="dcterms:W3CDTF">2019-12-12T09:24:00Z</dcterms:modified>
</cp:coreProperties>
</file>